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CB34F" w14:textId="77777777" w:rsidR="00136D60" w:rsidRPr="00483DA1" w:rsidRDefault="00136D60" w:rsidP="00136D60">
      <w:pPr>
        <w:jc w:val="center"/>
        <w:rPr>
          <w:rFonts w:ascii="Arial" w:eastAsiaTheme="minorEastAsia" w:hAnsi="Arial" w:cs="Arial"/>
          <w:i/>
          <w:color w:val="000099"/>
          <w:sz w:val="18"/>
          <w:szCs w:val="18"/>
          <w:lang w:eastAsia="pl-PL"/>
        </w:rPr>
      </w:pPr>
    </w:p>
    <w:p w14:paraId="4C37BFA1" w14:textId="325EBFA9" w:rsidR="00136D60" w:rsidRPr="00483DA1" w:rsidRDefault="00186A04" w:rsidP="00136D60">
      <w:pPr>
        <w:jc w:val="center"/>
        <w:rPr>
          <w:rFonts w:ascii="Arial" w:eastAsiaTheme="minorEastAsia" w:hAnsi="Arial" w:cs="Arial"/>
          <w:i/>
          <w:color w:val="000099"/>
          <w:sz w:val="18"/>
          <w:szCs w:val="18"/>
          <w:lang w:eastAsia="pl-PL"/>
        </w:rPr>
      </w:pPr>
      <w:r w:rsidRPr="008025CC">
        <w:rPr>
          <w:noProof/>
          <w:szCs w:val="24"/>
        </w:rPr>
        <w:drawing>
          <wp:inline distT="0" distB="0" distL="0" distR="0" wp14:anchorId="26020571" wp14:editId="13AC92EE">
            <wp:extent cx="8444066" cy="866775"/>
            <wp:effectExtent l="0" t="0" r="0" b="0"/>
            <wp:docPr id="850241393" name="Obraz 1" descr="Zestawienie logotypów&#10;&#10;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logotypów&#10;&#10;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181" cy="867505"/>
                    </a:xfrm>
                    <a:prstGeom prst="rect">
                      <a:avLst/>
                    </a:prstGeom>
                    <a:noFill/>
                    <a:ln>
                      <a:noFill/>
                    </a:ln>
                  </pic:spPr>
                </pic:pic>
              </a:graphicData>
            </a:graphic>
          </wp:inline>
        </w:drawing>
      </w:r>
    </w:p>
    <w:p w14:paraId="11BF6CEA" w14:textId="77777777" w:rsidR="00136D60" w:rsidRPr="00483DA1" w:rsidRDefault="00136D60" w:rsidP="00136D60">
      <w:pPr>
        <w:jc w:val="center"/>
        <w:rPr>
          <w:rFonts w:ascii="Arial" w:eastAsiaTheme="minorEastAsia" w:hAnsi="Arial" w:cs="Arial"/>
          <w:i/>
          <w:color w:val="000099"/>
          <w:sz w:val="18"/>
          <w:szCs w:val="18"/>
          <w:lang w:eastAsia="pl-PL"/>
        </w:rPr>
      </w:pPr>
    </w:p>
    <w:p w14:paraId="77C21649" w14:textId="77777777" w:rsidR="00136D60" w:rsidRPr="00483DA1" w:rsidRDefault="00136D60" w:rsidP="00136D60">
      <w:pPr>
        <w:jc w:val="center"/>
        <w:rPr>
          <w:rFonts w:ascii="Arial" w:eastAsiaTheme="minorEastAsia" w:hAnsi="Arial" w:cs="Arial"/>
          <w:i/>
          <w:color w:val="000099"/>
          <w:sz w:val="18"/>
          <w:szCs w:val="18"/>
          <w:lang w:eastAsia="pl-PL"/>
        </w:rPr>
      </w:pPr>
    </w:p>
    <w:p w14:paraId="3AB9B392" w14:textId="77777777" w:rsidR="00E53AED" w:rsidRDefault="00E53AED" w:rsidP="00E53AED">
      <w:pPr>
        <w:spacing w:after="0" w:line="360" w:lineRule="auto"/>
        <w:rPr>
          <w:rFonts w:ascii="Calibri" w:eastAsia="Times New Roman" w:hAnsi="Calibri" w:cs="Times New Roman"/>
          <w:b/>
          <w:color w:val="000099"/>
          <w:sz w:val="36"/>
          <w:szCs w:val="36"/>
        </w:rPr>
      </w:pPr>
    </w:p>
    <w:p w14:paraId="19291B86" w14:textId="44AF9208" w:rsidR="00E53AED" w:rsidRDefault="00E53AED" w:rsidP="00E53AED">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ZAŁĄCZNIK NR 9</w:t>
      </w:r>
      <w:r w:rsidR="0024751C">
        <w:rPr>
          <w:rFonts w:ascii="Calibri" w:eastAsia="Times New Roman" w:hAnsi="Calibri" w:cs="Times New Roman"/>
          <w:b/>
          <w:color w:val="000099"/>
          <w:sz w:val="36"/>
          <w:szCs w:val="36"/>
        </w:rPr>
        <w:t xml:space="preserve"> </w:t>
      </w:r>
    </w:p>
    <w:p w14:paraId="5911B174" w14:textId="77777777" w:rsidR="00E53AED" w:rsidRDefault="00E53AED" w:rsidP="00E53AED">
      <w:pPr>
        <w:spacing w:after="0" w:line="360" w:lineRule="auto"/>
        <w:rPr>
          <w:rFonts w:ascii="Calibri" w:eastAsia="Times New Roman" w:hAnsi="Calibri" w:cs="Times New Roman"/>
          <w:b/>
          <w:color w:val="000099"/>
          <w:sz w:val="36"/>
          <w:szCs w:val="36"/>
        </w:rPr>
      </w:pPr>
      <w:r w:rsidRPr="00421306">
        <w:rPr>
          <w:rFonts w:ascii="Calibri" w:eastAsia="Times New Roman" w:hAnsi="Calibri" w:cs="Times New Roman"/>
          <w:b/>
          <w:color w:val="000099"/>
          <w:sz w:val="36"/>
          <w:szCs w:val="36"/>
        </w:rPr>
        <w:t xml:space="preserve">Lista wskaźników na poziomie projektu </w:t>
      </w:r>
    </w:p>
    <w:p w14:paraId="16D19DD0" w14:textId="77777777" w:rsidR="00E53AED" w:rsidRPr="009C1211" w:rsidRDefault="00E53AED" w:rsidP="00E53AED">
      <w:pPr>
        <w:spacing w:after="0" w:line="360" w:lineRule="auto"/>
        <w:rPr>
          <w:rFonts w:ascii="Calibri" w:eastAsia="Times New Roman" w:hAnsi="Calibri" w:cs="Times New Roman"/>
          <w:b/>
          <w:color w:val="000099"/>
          <w:sz w:val="36"/>
          <w:szCs w:val="36"/>
        </w:rPr>
      </w:pPr>
      <w:r w:rsidRPr="00421306">
        <w:rPr>
          <w:rFonts w:ascii="Calibri" w:eastAsia="Times New Roman" w:hAnsi="Calibri" w:cs="Times New Roman"/>
          <w:b/>
          <w:color w:val="000099"/>
          <w:sz w:val="36"/>
          <w:szCs w:val="36"/>
        </w:rPr>
        <w:t xml:space="preserve">dla działania </w:t>
      </w:r>
      <w:r w:rsidRPr="009C1211">
        <w:rPr>
          <w:rFonts w:ascii="Calibri" w:eastAsia="Times New Roman" w:hAnsi="Calibri" w:cs="Times New Roman"/>
          <w:b/>
          <w:color w:val="000099"/>
          <w:sz w:val="36"/>
          <w:szCs w:val="36"/>
        </w:rPr>
        <w:t>2.3 Zapobieganie zagrożeniom związanym ze zmianą klimatu FEO 2021 – 2027</w:t>
      </w:r>
    </w:p>
    <w:p w14:paraId="029FF2E8" w14:textId="77777777" w:rsidR="00E53AED" w:rsidRPr="00421306" w:rsidRDefault="00E53AED" w:rsidP="00E53AED">
      <w:pPr>
        <w:spacing w:after="0" w:line="360" w:lineRule="auto"/>
        <w:rPr>
          <w:rFonts w:ascii="Calibri" w:eastAsia="Times New Roman" w:hAnsi="Calibri" w:cs="Times New Roman"/>
          <w:b/>
          <w:sz w:val="44"/>
          <w:szCs w:val="44"/>
        </w:rPr>
      </w:pPr>
    </w:p>
    <w:p w14:paraId="4D36668D" w14:textId="77777777" w:rsidR="00E53AED" w:rsidRPr="00524139" w:rsidRDefault="00E53AED" w:rsidP="00E53AED">
      <w:pPr>
        <w:spacing w:after="0" w:line="24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Wersja 1</w:t>
      </w:r>
    </w:p>
    <w:p w14:paraId="334E28F9" w14:textId="34A9DB05" w:rsidR="00136D60" w:rsidRPr="00483DA1" w:rsidRDefault="003235D7" w:rsidP="00E53AED">
      <w:pPr>
        <w:rPr>
          <w:rFonts w:ascii="Arial" w:eastAsiaTheme="minorEastAsia" w:hAnsi="Arial" w:cs="Arial"/>
          <w:sz w:val="18"/>
          <w:szCs w:val="18"/>
          <w:lang w:eastAsia="pl-PL"/>
        </w:rPr>
      </w:pPr>
      <w:r>
        <w:rPr>
          <w:rFonts w:ascii="Calibri" w:eastAsia="Times New Roman" w:hAnsi="Calibri" w:cs="Times New Roman"/>
          <w:b/>
          <w:color w:val="000099"/>
          <w:sz w:val="36"/>
          <w:szCs w:val="36"/>
        </w:rPr>
        <w:t>grudzień</w:t>
      </w:r>
      <w:r w:rsidR="00E53AED" w:rsidRPr="002B48C2">
        <w:rPr>
          <w:rFonts w:ascii="Calibri" w:eastAsia="Times New Roman" w:hAnsi="Calibri" w:cs="Times New Roman"/>
          <w:b/>
          <w:color w:val="000099"/>
          <w:sz w:val="36"/>
          <w:szCs w:val="36"/>
        </w:rPr>
        <w:t xml:space="preserve"> 2024 r.</w:t>
      </w:r>
    </w:p>
    <w:p w14:paraId="5886B212" w14:textId="77777777" w:rsidR="00136D60" w:rsidRPr="00483DA1" w:rsidRDefault="00136D60" w:rsidP="00136D60">
      <w:pPr>
        <w:rPr>
          <w:rFonts w:ascii="Arial" w:eastAsiaTheme="minorEastAsia" w:hAnsi="Arial" w:cs="Arial"/>
          <w:sz w:val="18"/>
          <w:szCs w:val="18"/>
          <w:lang w:eastAsia="pl-PL"/>
        </w:rPr>
      </w:pPr>
      <w:r w:rsidRPr="00483DA1">
        <w:rPr>
          <w:rFonts w:ascii="Arial" w:eastAsiaTheme="minorEastAsia" w:hAnsi="Arial" w:cs="Arial"/>
          <w:sz w:val="18"/>
          <w:szCs w:val="18"/>
          <w:lang w:eastAsia="pl-PL"/>
        </w:rPr>
        <w:br w:type="page"/>
      </w:r>
    </w:p>
    <w:tbl>
      <w:tblPr>
        <w:tblStyle w:val="Tabela-Siatka"/>
        <w:tblW w:w="14586" w:type="dxa"/>
        <w:tblBorders>
          <w:top w:val="single" w:sz="12" w:space="0" w:color="33CC33"/>
          <w:left w:val="single" w:sz="12" w:space="0" w:color="33CC33"/>
          <w:bottom w:val="single" w:sz="12" w:space="0" w:color="33CC33"/>
          <w:right w:val="single" w:sz="12" w:space="0" w:color="33CC33"/>
          <w:insideH w:val="single" w:sz="4" w:space="0" w:color="33CC33"/>
          <w:insideV w:val="single" w:sz="4" w:space="0" w:color="33CC33"/>
        </w:tblBorders>
        <w:tblLayout w:type="fixed"/>
        <w:tblLook w:val="04A0" w:firstRow="1" w:lastRow="0" w:firstColumn="1" w:lastColumn="0" w:noHBand="0" w:noVBand="1"/>
      </w:tblPr>
      <w:tblGrid>
        <w:gridCol w:w="552"/>
        <w:gridCol w:w="2977"/>
        <w:gridCol w:w="1276"/>
        <w:gridCol w:w="1276"/>
        <w:gridCol w:w="1417"/>
        <w:gridCol w:w="992"/>
        <w:gridCol w:w="6096"/>
      </w:tblGrid>
      <w:tr w:rsidR="005B09B9" w:rsidRPr="000F4CA9" w14:paraId="034791AC" w14:textId="77777777" w:rsidTr="003C43FE">
        <w:trPr>
          <w:trHeight w:hRule="exact" w:val="839"/>
          <w:tblHeader/>
        </w:trPr>
        <w:tc>
          <w:tcPr>
            <w:tcW w:w="552" w:type="dxa"/>
            <w:tcBorders>
              <w:top w:val="single" w:sz="8" w:space="0" w:color="33CC33"/>
              <w:bottom w:val="single" w:sz="12" w:space="0" w:color="33CC33"/>
              <w:right w:val="single" w:sz="12" w:space="0" w:color="33CC33"/>
            </w:tcBorders>
            <w:shd w:val="clear" w:color="auto" w:fill="F2F2F2"/>
            <w:vAlign w:val="center"/>
          </w:tcPr>
          <w:p w14:paraId="1F5BF369" w14:textId="77777777" w:rsidR="005B09B9" w:rsidRPr="000F4CA9" w:rsidRDefault="005B09B9" w:rsidP="002B30FD">
            <w:pPr>
              <w:spacing w:before="80" w:after="80"/>
              <w:jc w:val="center"/>
              <w:rPr>
                <w:rFonts w:cstheme="minorHAnsi"/>
                <w:b/>
                <w:color w:val="000099"/>
                <w:sz w:val="24"/>
                <w:szCs w:val="24"/>
              </w:rPr>
            </w:pPr>
            <w:r w:rsidRPr="000F4CA9">
              <w:rPr>
                <w:rFonts w:cstheme="minorHAnsi"/>
                <w:b/>
                <w:color w:val="000099"/>
                <w:sz w:val="24"/>
                <w:szCs w:val="24"/>
              </w:rPr>
              <w:lastRenderedPageBreak/>
              <w:t>Lp.</w:t>
            </w:r>
          </w:p>
        </w:tc>
        <w:tc>
          <w:tcPr>
            <w:tcW w:w="2977"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2595D904" w14:textId="77777777" w:rsidR="005B09B9" w:rsidRPr="000F4CA9" w:rsidRDefault="005B09B9" w:rsidP="002B30FD">
            <w:pPr>
              <w:spacing w:before="80" w:after="80"/>
              <w:jc w:val="center"/>
              <w:rPr>
                <w:rFonts w:cstheme="minorHAnsi"/>
                <w:b/>
                <w:color w:val="000099"/>
                <w:sz w:val="24"/>
                <w:szCs w:val="24"/>
              </w:rPr>
            </w:pPr>
            <w:r w:rsidRPr="000F4CA9">
              <w:rPr>
                <w:rFonts w:cstheme="minorHAnsi"/>
                <w:b/>
                <w:color w:val="000099"/>
                <w:sz w:val="24"/>
                <w:szCs w:val="24"/>
              </w:rPr>
              <w:t>Nazwa wskaźnika</w:t>
            </w:r>
          </w:p>
        </w:tc>
        <w:tc>
          <w:tcPr>
            <w:tcW w:w="1276"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00B32814" w14:textId="77777777" w:rsidR="005B09B9" w:rsidRPr="000F4CA9" w:rsidRDefault="005B09B9" w:rsidP="002B30FD">
            <w:pPr>
              <w:spacing w:before="80" w:after="80"/>
              <w:jc w:val="center"/>
              <w:rPr>
                <w:rFonts w:cstheme="minorHAnsi"/>
                <w:b/>
                <w:color w:val="000099"/>
                <w:sz w:val="24"/>
                <w:szCs w:val="24"/>
              </w:rPr>
            </w:pPr>
            <w:r w:rsidRPr="000F4CA9">
              <w:rPr>
                <w:rFonts w:cstheme="minorHAnsi"/>
                <w:b/>
                <w:color w:val="000099"/>
                <w:sz w:val="24"/>
                <w:szCs w:val="24"/>
              </w:rPr>
              <w:t>Jednostka miary</w:t>
            </w:r>
          </w:p>
        </w:tc>
        <w:tc>
          <w:tcPr>
            <w:tcW w:w="1276"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74152E86" w14:textId="77777777" w:rsidR="005B09B9" w:rsidRPr="000F4CA9" w:rsidRDefault="005B09B9" w:rsidP="002B30FD">
            <w:pPr>
              <w:spacing w:before="80" w:after="80"/>
              <w:jc w:val="center"/>
              <w:rPr>
                <w:rFonts w:cstheme="minorHAnsi"/>
                <w:b/>
                <w:color w:val="000099"/>
                <w:sz w:val="24"/>
                <w:szCs w:val="24"/>
              </w:rPr>
            </w:pPr>
            <w:r w:rsidRPr="000F4CA9">
              <w:rPr>
                <w:rFonts w:cstheme="minorHAnsi"/>
                <w:b/>
                <w:color w:val="000099"/>
                <w:sz w:val="24"/>
                <w:szCs w:val="24"/>
              </w:rPr>
              <w:t>Rodzaj wskaźnika</w:t>
            </w:r>
          </w:p>
        </w:tc>
        <w:tc>
          <w:tcPr>
            <w:tcW w:w="1417"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6BA6D1C6" w14:textId="77777777" w:rsidR="005B09B9" w:rsidRPr="000F4CA9" w:rsidRDefault="005B09B9" w:rsidP="002B30FD">
            <w:pPr>
              <w:spacing w:before="80" w:after="80"/>
              <w:jc w:val="center"/>
              <w:rPr>
                <w:rFonts w:cstheme="minorHAnsi"/>
                <w:b/>
                <w:color w:val="000099"/>
                <w:sz w:val="24"/>
                <w:szCs w:val="24"/>
              </w:rPr>
            </w:pPr>
            <w:r w:rsidRPr="000F4CA9">
              <w:rPr>
                <w:rFonts w:cstheme="minorHAnsi"/>
                <w:b/>
                <w:color w:val="000099"/>
                <w:sz w:val="24"/>
                <w:szCs w:val="24"/>
              </w:rPr>
              <w:t>Typ wskaźnika</w:t>
            </w:r>
          </w:p>
        </w:tc>
        <w:tc>
          <w:tcPr>
            <w:tcW w:w="992" w:type="dxa"/>
            <w:tcBorders>
              <w:top w:val="single" w:sz="8" w:space="0" w:color="33CC33"/>
              <w:left w:val="single" w:sz="12" w:space="0" w:color="33CC33"/>
              <w:bottom w:val="single" w:sz="12" w:space="0" w:color="33CC33"/>
              <w:right w:val="single" w:sz="12" w:space="0" w:color="33CC33"/>
            </w:tcBorders>
            <w:shd w:val="clear" w:color="auto" w:fill="F2F2F2"/>
            <w:vAlign w:val="center"/>
          </w:tcPr>
          <w:p w14:paraId="79CA917C" w14:textId="77777777" w:rsidR="005B09B9" w:rsidRPr="000F4CA9" w:rsidRDefault="005B09B9" w:rsidP="002B30FD">
            <w:pPr>
              <w:spacing w:before="80" w:after="80"/>
              <w:jc w:val="center"/>
              <w:rPr>
                <w:rFonts w:cstheme="minorHAnsi"/>
                <w:b/>
                <w:color w:val="000099"/>
                <w:sz w:val="24"/>
                <w:szCs w:val="24"/>
              </w:rPr>
            </w:pPr>
            <w:r w:rsidRPr="000F4CA9">
              <w:rPr>
                <w:rFonts w:cstheme="minorHAnsi"/>
                <w:b/>
                <w:color w:val="000099"/>
                <w:sz w:val="24"/>
                <w:szCs w:val="24"/>
              </w:rPr>
              <w:t>Inne uwagi</w:t>
            </w:r>
          </w:p>
        </w:tc>
        <w:tc>
          <w:tcPr>
            <w:tcW w:w="6096" w:type="dxa"/>
            <w:tcBorders>
              <w:top w:val="single" w:sz="8" w:space="0" w:color="33CC33"/>
              <w:left w:val="single" w:sz="12" w:space="0" w:color="33CC33"/>
              <w:bottom w:val="single" w:sz="12" w:space="0" w:color="33CC33"/>
            </w:tcBorders>
            <w:shd w:val="clear" w:color="auto" w:fill="F2F2F2"/>
            <w:vAlign w:val="center"/>
          </w:tcPr>
          <w:p w14:paraId="6B3C4C4A" w14:textId="77777777" w:rsidR="005B09B9" w:rsidRPr="000F4CA9" w:rsidRDefault="005B09B9" w:rsidP="002B30FD">
            <w:pPr>
              <w:spacing w:before="80" w:after="80"/>
              <w:jc w:val="center"/>
              <w:rPr>
                <w:rFonts w:cstheme="minorHAnsi"/>
                <w:b/>
                <w:color w:val="000099"/>
                <w:sz w:val="24"/>
                <w:szCs w:val="24"/>
              </w:rPr>
            </w:pPr>
            <w:r w:rsidRPr="000F4CA9">
              <w:rPr>
                <w:rFonts w:cstheme="minorHAnsi"/>
                <w:b/>
                <w:color w:val="000099"/>
                <w:sz w:val="24"/>
                <w:szCs w:val="24"/>
              </w:rPr>
              <w:t>Definicja</w:t>
            </w:r>
          </w:p>
        </w:tc>
      </w:tr>
      <w:tr w:rsidR="005B09B9" w:rsidRPr="000F4CA9" w14:paraId="4517CBC9" w14:textId="77777777" w:rsidTr="005B09B9">
        <w:trPr>
          <w:trHeight w:val="364"/>
        </w:trPr>
        <w:tc>
          <w:tcPr>
            <w:tcW w:w="14586" w:type="dxa"/>
            <w:gridSpan w:val="7"/>
            <w:tcBorders>
              <w:top w:val="single" w:sz="12" w:space="0" w:color="33CC33"/>
              <w:bottom w:val="single" w:sz="12" w:space="0" w:color="33CC33"/>
            </w:tcBorders>
            <w:shd w:val="clear" w:color="auto" w:fill="FFFFFF" w:themeFill="background1"/>
          </w:tcPr>
          <w:p w14:paraId="6BAC1E6A" w14:textId="77777777" w:rsidR="005B09B9" w:rsidRPr="000F4CA9" w:rsidRDefault="005B09B9" w:rsidP="005B09B9">
            <w:pPr>
              <w:spacing w:before="80" w:after="80"/>
              <w:rPr>
                <w:rFonts w:cstheme="minorHAnsi"/>
                <w:b/>
                <w:color w:val="000099"/>
                <w:sz w:val="24"/>
                <w:szCs w:val="24"/>
              </w:rPr>
            </w:pPr>
            <w:r w:rsidRPr="000F4CA9">
              <w:rPr>
                <w:rFonts w:cstheme="minorHAnsi"/>
                <w:b/>
                <w:color w:val="000099"/>
                <w:sz w:val="24"/>
                <w:szCs w:val="24"/>
              </w:rPr>
              <w:t>Wskaźniki horyzontalne</w:t>
            </w:r>
          </w:p>
        </w:tc>
      </w:tr>
      <w:tr w:rsidR="00D67D46" w:rsidRPr="000F4CA9" w14:paraId="71792A80" w14:textId="77777777" w:rsidTr="003C43FE">
        <w:tc>
          <w:tcPr>
            <w:tcW w:w="552" w:type="dxa"/>
            <w:tcBorders>
              <w:top w:val="single" w:sz="12" w:space="0" w:color="33CC33"/>
            </w:tcBorders>
            <w:shd w:val="clear" w:color="auto" w:fill="FFFFFF" w:themeFill="background1"/>
            <w:vAlign w:val="center"/>
          </w:tcPr>
          <w:p w14:paraId="22BE72B3" w14:textId="1D2D7F83" w:rsidR="00D67D46" w:rsidRPr="002B30FD" w:rsidRDefault="00D67D46" w:rsidP="00D67D46">
            <w:pPr>
              <w:spacing w:before="80" w:after="80"/>
              <w:rPr>
                <w:rFonts w:cstheme="minorHAnsi"/>
                <w:sz w:val="20"/>
                <w:szCs w:val="20"/>
              </w:rPr>
            </w:pPr>
            <w:r>
              <w:rPr>
                <w:rFonts w:cstheme="minorHAnsi"/>
                <w:sz w:val="20"/>
                <w:szCs w:val="20"/>
              </w:rPr>
              <w:t>1</w:t>
            </w:r>
            <w:r w:rsidRPr="002B30FD">
              <w:rPr>
                <w:rFonts w:cstheme="minorHAnsi"/>
                <w:sz w:val="20"/>
                <w:szCs w:val="20"/>
              </w:rPr>
              <w:t>.</w:t>
            </w:r>
          </w:p>
        </w:tc>
        <w:tc>
          <w:tcPr>
            <w:tcW w:w="2977" w:type="dxa"/>
            <w:tcBorders>
              <w:top w:val="single" w:sz="12" w:space="0" w:color="33CC33"/>
            </w:tcBorders>
            <w:shd w:val="clear" w:color="auto" w:fill="FFFFFF" w:themeFill="background1"/>
            <w:vAlign w:val="center"/>
          </w:tcPr>
          <w:p w14:paraId="7F430362" w14:textId="5BF31675" w:rsidR="00D67D46" w:rsidRPr="00EA42DB" w:rsidRDefault="00D67D46" w:rsidP="00D67D46">
            <w:pPr>
              <w:spacing w:before="80" w:after="80"/>
              <w:rPr>
                <w:rFonts w:cstheme="minorHAnsi"/>
                <w:i/>
                <w:sz w:val="20"/>
                <w:szCs w:val="20"/>
              </w:rPr>
            </w:pPr>
            <w:r w:rsidRPr="00EA42DB">
              <w:rPr>
                <w:rFonts w:cstheme="minorHAnsi"/>
                <w:i/>
                <w:color w:val="000000"/>
                <w:sz w:val="20"/>
                <w:szCs w:val="20"/>
              </w:rPr>
              <w:t>Liczba obiektów dostosowanych do potrzeb osób z niepełnosprawnościami</w:t>
            </w:r>
          </w:p>
        </w:tc>
        <w:tc>
          <w:tcPr>
            <w:tcW w:w="1276" w:type="dxa"/>
            <w:tcBorders>
              <w:top w:val="single" w:sz="12" w:space="0" w:color="33CC33"/>
            </w:tcBorders>
            <w:shd w:val="clear" w:color="auto" w:fill="FFFFFF" w:themeFill="background1"/>
            <w:vAlign w:val="center"/>
          </w:tcPr>
          <w:p w14:paraId="48E5B5F2"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szt.</w:t>
            </w:r>
          </w:p>
        </w:tc>
        <w:tc>
          <w:tcPr>
            <w:tcW w:w="1276" w:type="dxa"/>
            <w:tcBorders>
              <w:top w:val="single" w:sz="12" w:space="0" w:color="33CC33"/>
            </w:tcBorders>
            <w:shd w:val="clear" w:color="auto" w:fill="FFFFFF" w:themeFill="background1"/>
            <w:vAlign w:val="center"/>
          </w:tcPr>
          <w:p w14:paraId="2F81DBC2"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produkt</w:t>
            </w:r>
          </w:p>
        </w:tc>
        <w:tc>
          <w:tcPr>
            <w:tcW w:w="1417" w:type="dxa"/>
            <w:tcBorders>
              <w:top w:val="single" w:sz="12" w:space="0" w:color="33CC33"/>
            </w:tcBorders>
            <w:shd w:val="clear" w:color="auto" w:fill="FFFFFF" w:themeFill="background1"/>
            <w:vAlign w:val="center"/>
          </w:tcPr>
          <w:p w14:paraId="23D868F6"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kluczowy</w:t>
            </w:r>
          </w:p>
        </w:tc>
        <w:tc>
          <w:tcPr>
            <w:tcW w:w="992" w:type="dxa"/>
            <w:tcBorders>
              <w:top w:val="single" w:sz="12" w:space="0" w:color="33CC33"/>
            </w:tcBorders>
            <w:shd w:val="clear" w:color="auto" w:fill="FFFFFF" w:themeFill="background1"/>
            <w:vAlign w:val="center"/>
          </w:tcPr>
          <w:p w14:paraId="403F63C8"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w:t>
            </w:r>
          </w:p>
        </w:tc>
        <w:tc>
          <w:tcPr>
            <w:tcW w:w="6096" w:type="dxa"/>
            <w:tcBorders>
              <w:top w:val="single" w:sz="12" w:space="0" w:color="33CC33"/>
            </w:tcBorders>
            <w:shd w:val="clear" w:color="auto" w:fill="FFFFFF" w:themeFill="background1"/>
            <w:vAlign w:val="center"/>
          </w:tcPr>
          <w:p w14:paraId="5AE3D542" w14:textId="5BBAE202" w:rsidR="00D67D46" w:rsidRPr="002B30FD" w:rsidRDefault="00D67D46" w:rsidP="00D67D46">
            <w:pPr>
              <w:tabs>
                <w:tab w:val="left" w:pos="3402"/>
                <w:tab w:val="left" w:pos="5103"/>
              </w:tabs>
              <w:spacing w:before="60" w:after="60"/>
              <w:ind w:left="-6"/>
              <w:jc w:val="both"/>
              <w:rPr>
                <w:rFonts w:eastAsia="Times New Roman" w:cstheme="minorHAnsi"/>
                <w:sz w:val="20"/>
                <w:szCs w:val="20"/>
              </w:rPr>
            </w:pPr>
            <w:r w:rsidRPr="00D67D46">
              <w:rPr>
                <w:rFonts w:cstheme="minorHAnsi"/>
                <w:color w:val="000000"/>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r>
      <w:tr w:rsidR="00D67D46" w:rsidRPr="000F4CA9" w14:paraId="529A1F17" w14:textId="77777777" w:rsidTr="003C43FE">
        <w:tc>
          <w:tcPr>
            <w:tcW w:w="552" w:type="dxa"/>
            <w:tcBorders>
              <w:top w:val="single" w:sz="12" w:space="0" w:color="33CC33"/>
            </w:tcBorders>
            <w:shd w:val="clear" w:color="auto" w:fill="FFFFFF" w:themeFill="background1"/>
            <w:vAlign w:val="center"/>
          </w:tcPr>
          <w:p w14:paraId="69596CBC" w14:textId="03A2CD72" w:rsidR="00D67D46" w:rsidRPr="005E63FE" w:rsidRDefault="00D67D46" w:rsidP="00D67D46">
            <w:pPr>
              <w:spacing w:before="80" w:after="80"/>
              <w:rPr>
                <w:rFonts w:cstheme="minorHAnsi"/>
                <w:sz w:val="20"/>
                <w:szCs w:val="20"/>
                <w:highlight w:val="yellow"/>
              </w:rPr>
            </w:pPr>
            <w:r w:rsidRPr="00EA42DB">
              <w:rPr>
                <w:rFonts w:cstheme="minorHAnsi"/>
                <w:sz w:val="20"/>
                <w:szCs w:val="20"/>
              </w:rPr>
              <w:t>2.</w:t>
            </w:r>
          </w:p>
        </w:tc>
        <w:tc>
          <w:tcPr>
            <w:tcW w:w="2977" w:type="dxa"/>
            <w:tcBorders>
              <w:top w:val="single" w:sz="12" w:space="0" w:color="33CC33"/>
            </w:tcBorders>
            <w:shd w:val="clear" w:color="auto" w:fill="FFFFFF" w:themeFill="background1"/>
            <w:vAlign w:val="center"/>
          </w:tcPr>
          <w:p w14:paraId="26AD5A1D" w14:textId="0CEEE8F1" w:rsidR="00D67D46" w:rsidRPr="00EA42DB" w:rsidRDefault="00D67D46" w:rsidP="00D67D46">
            <w:pPr>
              <w:spacing w:before="80" w:after="80"/>
              <w:rPr>
                <w:rFonts w:cstheme="minorHAnsi"/>
                <w:i/>
                <w:sz w:val="20"/>
                <w:szCs w:val="20"/>
              </w:rPr>
            </w:pPr>
            <w:r w:rsidRPr="00EA42DB">
              <w:rPr>
                <w:rFonts w:cstheme="minorHAnsi"/>
                <w:i/>
                <w:color w:val="000000"/>
                <w:sz w:val="20"/>
                <w:szCs w:val="20"/>
              </w:rPr>
              <w:t xml:space="preserve">Liczba projektów, w których sfinansowano koszty racjonalnych usprawnień dla osób z niepełnosprawnościami </w:t>
            </w:r>
          </w:p>
        </w:tc>
        <w:tc>
          <w:tcPr>
            <w:tcW w:w="1276" w:type="dxa"/>
            <w:tcBorders>
              <w:top w:val="single" w:sz="12" w:space="0" w:color="33CC33"/>
            </w:tcBorders>
            <w:shd w:val="clear" w:color="auto" w:fill="FFFFFF" w:themeFill="background1"/>
            <w:vAlign w:val="center"/>
          </w:tcPr>
          <w:p w14:paraId="6366E100"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szt.</w:t>
            </w:r>
          </w:p>
        </w:tc>
        <w:tc>
          <w:tcPr>
            <w:tcW w:w="1276" w:type="dxa"/>
            <w:tcBorders>
              <w:top w:val="single" w:sz="12" w:space="0" w:color="33CC33"/>
            </w:tcBorders>
            <w:shd w:val="clear" w:color="auto" w:fill="FFFFFF" w:themeFill="background1"/>
            <w:vAlign w:val="center"/>
          </w:tcPr>
          <w:p w14:paraId="7CD2AE5D"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produkt</w:t>
            </w:r>
          </w:p>
        </w:tc>
        <w:tc>
          <w:tcPr>
            <w:tcW w:w="1417" w:type="dxa"/>
            <w:tcBorders>
              <w:top w:val="single" w:sz="12" w:space="0" w:color="33CC33"/>
            </w:tcBorders>
            <w:shd w:val="clear" w:color="auto" w:fill="FFFFFF" w:themeFill="background1"/>
            <w:vAlign w:val="center"/>
          </w:tcPr>
          <w:p w14:paraId="39781F2B"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kluczowy</w:t>
            </w:r>
          </w:p>
        </w:tc>
        <w:tc>
          <w:tcPr>
            <w:tcW w:w="992" w:type="dxa"/>
            <w:tcBorders>
              <w:top w:val="single" w:sz="12" w:space="0" w:color="33CC33"/>
            </w:tcBorders>
            <w:shd w:val="clear" w:color="auto" w:fill="FFFFFF" w:themeFill="background1"/>
            <w:vAlign w:val="center"/>
          </w:tcPr>
          <w:p w14:paraId="5050985A" w14:textId="77777777" w:rsidR="00D67D46" w:rsidRPr="002B30FD" w:rsidRDefault="00D67D46" w:rsidP="00D67D46">
            <w:pPr>
              <w:spacing w:before="80" w:after="80"/>
              <w:jc w:val="center"/>
              <w:rPr>
                <w:rFonts w:cstheme="minorHAnsi"/>
                <w:sz w:val="20"/>
                <w:szCs w:val="20"/>
              </w:rPr>
            </w:pPr>
            <w:r w:rsidRPr="002B30FD">
              <w:rPr>
                <w:rFonts w:cstheme="minorHAnsi"/>
                <w:sz w:val="20"/>
                <w:szCs w:val="20"/>
              </w:rPr>
              <w:t>-</w:t>
            </w:r>
          </w:p>
        </w:tc>
        <w:tc>
          <w:tcPr>
            <w:tcW w:w="6096" w:type="dxa"/>
            <w:tcBorders>
              <w:top w:val="single" w:sz="12" w:space="0" w:color="33CC33"/>
            </w:tcBorders>
            <w:shd w:val="clear" w:color="auto" w:fill="FFFFFF" w:themeFill="background1"/>
            <w:vAlign w:val="center"/>
          </w:tcPr>
          <w:p w14:paraId="3EF18578" w14:textId="61636784" w:rsidR="00D67D46" w:rsidRPr="002B30FD" w:rsidRDefault="00D67D46" w:rsidP="00D67D46">
            <w:pPr>
              <w:tabs>
                <w:tab w:val="left" w:pos="3402"/>
                <w:tab w:val="left" w:pos="5103"/>
              </w:tabs>
              <w:spacing w:before="60" w:after="60"/>
              <w:ind w:left="-6"/>
              <w:jc w:val="both"/>
              <w:rPr>
                <w:rFonts w:eastAsia="Times New Roman" w:cstheme="minorHAnsi"/>
                <w:sz w:val="20"/>
                <w:szCs w:val="20"/>
              </w:rPr>
            </w:pPr>
            <w:r w:rsidRPr="00D67D46">
              <w:rPr>
                <w:rFonts w:cstheme="minorHAnsi"/>
                <w:color w:val="000000"/>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w:t>
            </w:r>
            <w:r w:rsidRPr="00D67D46">
              <w:rPr>
                <w:rFonts w:cstheme="minorHAnsi"/>
                <w:color w:val="000000"/>
                <w:sz w:val="20"/>
                <w:szCs w:val="20"/>
              </w:rPr>
              <w:lastRenderedPageBreak/>
              <w:t>koszty racjonalnych usprawnień, jak i dedykowane (zgodnie z kategoryzacją projektów z  Wytycznych w zakresie realizacji zasad równościowych  w ramach funduszy unijnych na lata 2021-2027). 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 Definicja na podstawie:  Wytyczne w zakresie realizacji zasad równościowych  w ramach funduszy unijnych na lata 2021-2027.</w:t>
            </w:r>
          </w:p>
        </w:tc>
      </w:tr>
      <w:tr w:rsidR="005B09B9" w:rsidRPr="000F4CA9" w14:paraId="201923BE" w14:textId="77777777" w:rsidTr="005B09B9">
        <w:trPr>
          <w:trHeight w:hRule="exact" w:val="567"/>
        </w:trPr>
        <w:tc>
          <w:tcPr>
            <w:tcW w:w="14586" w:type="dxa"/>
            <w:gridSpan w:val="7"/>
            <w:tcBorders>
              <w:top w:val="single" w:sz="12" w:space="0" w:color="33CC33"/>
              <w:bottom w:val="single" w:sz="12" w:space="0" w:color="33CC33"/>
            </w:tcBorders>
            <w:shd w:val="clear" w:color="auto" w:fill="D9D9D9" w:themeFill="background1" w:themeFillShade="D9"/>
            <w:vAlign w:val="center"/>
          </w:tcPr>
          <w:p w14:paraId="7DA78EAB" w14:textId="41CD66C3" w:rsidR="005B09B9" w:rsidRPr="000F4CA9" w:rsidRDefault="005B09B9" w:rsidP="005B09B9">
            <w:pPr>
              <w:spacing w:before="80" w:after="80"/>
              <w:rPr>
                <w:rFonts w:cstheme="minorHAnsi"/>
                <w:i/>
                <w:color w:val="000099"/>
                <w:sz w:val="24"/>
                <w:szCs w:val="24"/>
              </w:rPr>
            </w:pPr>
            <w:r>
              <w:rPr>
                <w:rFonts w:cstheme="minorHAnsi"/>
                <w:i/>
                <w:color w:val="000099"/>
                <w:sz w:val="24"/>
                <w:szCs w:val="24"/>
              </w:rPr>
              <w:lastRenderedPageBreak/>
              <w:t>Oś priorytetowa II</w:t>
            </w:r>
            <w:r w:rsidRPr="000F4CA9">
              <w:rPr>
                <w:rFonts w:cstheme="minorHAnsi"/>
                <w:i/>
                <w:color w:val="000099"/>
                <w:sz w:val="24"/>
                <w:szCs w:val="24"/>
              </w:rPr>
              <w:t xml:space="preserve"> </w:t>
            </w:r>
            <w:r>
              <w:rPr>
                <w:rFonts w:cstheme="minorHAnsi"/>
                <w:b/>
                <w:i/>
                <w:color w:val="000099"/>
                <w:sz w:val="24"/>
                <w:szCs w:val="24"/>
              </w:rPr>
              <w:t>Fundusze Europejskie dla czystej energii i ochrony środowiska naturalnego w województwie opolskim</w:t>
            </w:r>
          </w:p>
        </w:tc>
      </w:tr>
      <w:tr w:rsidR="005B09B9" w:rsidRPr="000F4CA9" w14:paraId="7974C606" w14:textId="77777777" w:rsidTr="005B09B9">
        <w:trPr>
          <w:trHeight w:hRule="exact" w:val="567"/>
        </w:trPr>
        <w:tc>
          <w:tcPr>
            <w:tcW w:w="14586" w:type="dxa"/>
            <w:gridSpan w:val="7"/>
            <w:tcBorders>
              <w:top w:val="single" w:sz="12" w:space="0" w:color="33CC33"/>
              <w:bottom w:val="single" w:sz="12" w:space="0" w:color="33CC33"/>
            </w:tcBorders>
            <w:shd w:val="clear" w:color="auto" w:fill="EAF1DD"/>
            <w:vAlign w:val="center"/>
          </w:tcPr>
          <w:p w14:paraId="5E21D99A" w14:textId="77777777" w:rsidR="009029C4" w:rsidRPr="009029C4" w:rsidRDefault="005B09B9" w:rsidP="009029C4">
            <w:pPr>
              <w:spacing w:before="80" w:after="80"/>
              <w:rPr>
                <w:rFonts w:cstheme="minorHAnsi"/>
                <w:b/>
                <w:i/>
                <w:color w:val="000099"/>
                <w:sz w:val="24"/>
                <w:szCs w:val="24"/>
              </w:rPr>
            </w:pPr>
            <w:r>
              <w:rPr>
                <w:rFonts w:cstheme="minorHAnsi"/>
                <w:i/>
                <w:color w:val="000099"/>
                <w:sz w:val="24"/>
                <w:szCs w:val="24"/>
              </w:rPr>
              <w:t>Działanie 2.</w:t>
            </w:r>
            <w:r w:rsidR="00BE02BF">
              <w:rPr>
                <w:rFonts w:cstheme="minorHAnsi"/>
                <w:i/>
                <w:color w:val="000099"/>
                <w:sz w:val="24"/>
                <w:szCs w:val="24"/>
              </w:rPr>
              <w:t>3</w:t>
            </w:r>
            <w:r w:rsidRPr="000F4CA9">
              <w:rPr>
                <w:rFonts w:cstheme="minorHAnsi"/>
                <w:i/>
                <w:color w:val="000099"/>
                <w:sz w:val="24"/>
                <w:szCs w:val="24"/>
              </w:rPr>
              <w:t xml:space="preserve">  </w:t>
            </w:r>
            <w:r w:rsidR="009029C4" w:rsidRPr="009029C4">
              <w:rPr>
                <w:rFonts w:cstheme="minorHAnsi"/>
                <w:b/>
                <w:i/>
                <w:color w:val="000099"/>
                <w:sz w:val="24"/>
                <w:szCs w:val="24"/>
              </w:rPr>
              <w:t>Zapobieganie zagrożeniom związanym ze zmianą klimatu</w:t>
            </w:r>
          </w:p>
          <w:p w14:paraId="53A5D092" w14:textId="77777777" w:rsidR="009029C4" w:rsidRPr="009029C4" w:rsidRDefault="009029C4" w:rsidP="009029C4">
            <w:pPr>
              <w:spacing w:before="80" w:after="80"/>
              <w:rPr>
                <w:rFonts w:cstheme="minorHAnsi"/>
                <w:b/>
                <w:i/>
                <w:color w:val="000099"/>
                <w:sz w:val="24"/>
                <w:szCs w:val="24"/>
              </w:rPr>
            </w:pPr>
            <w:r w:rsidRPr="009029C4">
              <w:rPr>
                <w:rFonts w:cstheme="minorHAnsi"/>
                <w:b/>
                <w:i/>
                <w:color w:val="000099"/>
                <w:sz w:val="24"/>
                <w:szCs w:val="24"/>
              </w:rPr>
              <w:t>FEO 2021-2027</w:t>
            </w:r>
          </w:p>
          <w:p w14:paraId="7F7CFFF8" w14:textId="1B3F52E6" w:rsidR="005B09B9" w:rsidRPr="000F4CA9" w:rsidRDefault="005B09B9" w:rsidP="005B09B9">
            <w:pPr>
              <w:spacing w:before="80" w:after="80"/>
              <w:rPr>
                <w:rFonts w:cstheme="minorHAnsi"/>
                <w:i/>
                <w:color w:val="000099"/>
                <w:sz w:val="24"/>
                <w:szCs w:val="24"/>
              </w:rPr>
            </w:pPr>
          </w:p>
        </w:tc>
      </w:tr>
      <w:tr w:rsidR="00D67D46" w:rsidRPr="000F4CA9" w14:paraId="472508D5" w14:textId="77777777" w:rsidTr="003C43FE">
        <w:trPr>
          <w:trHeight w:val="1041"/>
        </w:trPr>
        <w:tc>
          <w:tcPr>
            <w:tcW w:w="552" w:type="dxa"/>
            <w:tcBorders>
              <w:top w:val="single" w:sz="12" w:space="0" w:color="33CC33"/>
            </w:tcBorders>
            <w:vAlign w:val="center"/>
          </w:tcPr>
          <w:p w14:paraId="0FDDDAFB" w14:textId="77777777" w:rsidR="00D67D46" w:rsidRPr="00EA42DB" w:rsidRDefault="00D67D46" w:rsidP="00D67D46">
            <w:pPr>
              <w:spacing w:before="60" w:after="60"/>
              <w:rPr>
                <w:rFonts w:cstheme="minorHAnsi"/>
                <w:sz w:val="20"/>
                <w:szCs w:val="20"/>
              </w:rPr>
            </w:pPr>
            <w:r w:rsidRPr="00EA42DB">
              <w:rPr>
                <w:rFonts w:cstheme="minorHAnsi"/>
                <w:sz w:val="20"/>
                <w:szCs w:val="20"/>
              </w:rPr>
              <w:t>1.</w:t>
            </w:r>
          </w:p>
        </w:tc>
        <w:tc>
          <w:tcPr>
            <w:tcW w:w="2977" w:type="dxa"/>
            <w:tcBorders>
              <w:top w:val="single" w:sz="12" w:space="0" w:color="33CC33"/>
            </w:tcBorders>
            <w:vAlign w:val="center"/>
          </w:tcPr>
          <w:p w14:paraId="4D2679F8" w14:textId="36A09208" w:rsidR="00D67D46" w:rsidRPr="00EA42DB" w:rsidRDefault="00D67D46" w:rsidP="00D67D46">
            <w:pPr>
              <w:spacing w:before="60" w:after="60"/>
              <w:rPr>
                <w:rFonts w:eastAsia="Times New Roman" w:cstheme="minorHAnsi"/>
                <w:i/>
                <w:color w:val="000000"/>
                <w:sz w:val="20"/>
                <w:szCs w:val="20"/>
              </w:rPr>
            </w:pPr>
            <w:r w:rsidRPr="00BE02BF">
              <w:rPr>
                <w:rFonts w:cstheme="minorHAnsi"/>
                <w:i/>
                <w:sz w:val="20"/>
                <w:szCs w:val="20"/>
              </w:rPr>
              <w:t>Inwestycje w nowe lub zmodernizowane systemy monitorowania, gotowości, ostrzegania i reagowania w kontekście klęsk żywiołowych i katastrof w przypadku klęsk żywiołowych</w:t>
            </w:r>
          </w:p>
        </w:tc>
        <w:tc>
          <w:tcPr>
            <w:tcW w:w="1276" w:type="dxa"/>
            <w:tcBorders>
              <w:top w:val="single" w:sz="12" w:space="0" w:color="33CC33"/>
            </w:tcBorders>
            <w:vAlign w:val="center"/>
          </w:tcPr>
          <w:p w14:paraId="5821EE11" w14:textId="7665D618" w:rsidR="00D67D46" w:rsidRPr="002B30FD" w:rsidRDefault="00D67D46" w:rsidP="00D67D46">
            <w:pPr>
              <w:spacing w:before="60" w:after="60"/>
              <w:jc w:val="center"/>
              <w:rPr>
                <w:rFonts w:eastAsia="Times New Roman" w:cstheme="minorHAnsi"/>
                <w:sz w:val="20"/>
                <w:szCs w:val="20"/>
              </w:rPr>
            </w:pPr>
            <w:r>
              <w:rPr>
                <w:rFonts w:cstheme="minorHAnsi"/>
                <w:sz w:val="20"/>
                <w:szCs w:val="20"/>
              </w:rPr>
              <w:t>PLN</w:t>
            </w:r>
          </w:p>
        </w:tc>
        <w:tc>
          <w:tcPr>
            <w:tcW w:w="1276" w:type="dxa"/>
            <w:tcBorders>
              <w:top w:val="single" w:sz="12" w:space="0" w:color="33CC33"/>
            </w:tcBorders>
            <w:vAlign w:val="center"/>
          </w:tcPr>
          <w:p w14:paraId="28B6ED40" w14:textId="15479839" w:rsidR="00D67D46" w:rsidRPr="002B30FD" w:rsidRDefault="00D67D46" w:rsidP="00D67D46">
            <w:pPr>
              <w:spacing w:before="60" w:after="60"/>
              <w:jc w:val="center"/>
              <w:rPr>
                <w:rFonts w:cstheme="minorHAnsi"/>
                <w:sz w:val="20"/>
                <w:szCs w:val="20"/>
              </w:rPr>
            </w:pPr>
            <w:r w:rsidRPr="002B30FD">
              <w:rPr>
                <w:rFonts w:cstheme="minorHAnsi"/>
                <w:sz w:val="20"/>
                <w:szCs w:val="20"/>
              </w:rPr>
              <w:t>produkt</w:t>
            </w:r>
          </w:p>
        </w:tc>
        <w:tc>
          <w:tcPr>
            <w:tcW w:w="1417" w:type="dxa"/>
            <w:tcBorders>
              <w:top w:val="single" w:sz="12" w:space="0" w:color="33CC33"/>
            </w:tcBorders>
            <w:vAlign w:val="center"/>
          </w:tcPr>
          <w:p w14:paraId="0CB87962" w14:textId="73E64D43" w:rsidR="00D67D46" w:rsidRPr="002B30FD" w:rsidRDefault="00D67D46" w:rsidP="00D67D46">
            <w:pPr>
              <w:spacing w:before="60" w:after="60"/>
              <w:jc w:val="center"/>
              <w:rPr>
                <w:rFonts w:cstheme="minorHAnsi"/>
                <w:sz w:val="20"/>
                <w:szCs w:val="20"/>
              </w:rPr>
            </w:pPr>
            <w:r>
              <w:rPr>
                <w:rFonts w:cstheme="minorHAnsi"/>
                <w:sz w:val="20"/>
                <w:szCs w:val="20"/>
              </w:rPr>
              <w:t>programowy</w:t>
            </w:r>
          </w:p>
        </w:tc>
        <w:tc>
          <w:tcPr>
            <w:tcW w:w="992" w:type="dxa"/>
            <w:tcBorders>
              <w:top w:val="single" w:sz="12" w:space="0" w:color="33CC33"/>
            </w:tcBorders>
            <w:vAlign w:val="center"/>
          </w:tcPr>
          <w:p w14:paraId="1C1562DF" w14:textId="76A78384" w:rsidR="00D67D46" w:rsidRPr="002B30FD" w:rsidRDefault="00D67D46" w:rsidP="00D67D46">
            <w:pPr>
              <w:spacing w:before="60" w:after="60"/>
              <w:jc w:val="center"/>
              <w:rPr>
                <w:rFonts w:cstheme="minorHAnsi"/>
                <w:sz w:val="20"/>
                <w:szCs w:val="20"/>
              </w:rPr>
            </w:pPr>
            <w:r w:rsidRPr="002B30FD">
              <w:rPr>
                <w:rFonts w:cstheme="minorHAnsi"/>
                <w:sz w:val="20"/>
                <w:szCs w:val="20"/>
              </w:rPr>
              <w:t>-</w:t>
            </w:r>
          </w:p>
        </w:tc>
        <w:tc>
          <w:tcPr>
            <w:tcW w:w="6096" w:type="dxa"/>
            <w:tcBorders>
              <w:top w:val="single" w:sz="12" w:space="0" w:color="33CC33"/>
            </w:tcBorders>
            <w:vAlign w:val="center"/>
          </w:tcPr>
          <w:p w14:paraId="7B7EB650" w14:textId="05553F2C" w:rsidR="00D67D46" w:rsidRPr="002B30FD" w:rsidRDefault="00D67D46" w:rsidP="00D67D46">
            <w:pPr>
              <w:spacing w:before="60" w:after="60"/>
              <w:jc w:val="both"/>
              <w:rPr>
                <w:rFonts w:cstheme="minorHAnsi"/>
                <w:sz w:val="20"/>
                <w:szCs w:val="20"/>
              </w:rPr>
            </w:pPr>
            <w:r w:rsidRPr="00D67D46">
              <w:rPr>
                <w:rFonts w:cstheme="minorHAnsi"/>
                <w:sz w:val="20"/>
                <w:szCs w:val="20"/>
              </w:rPr>
              <w:t>Całkowita wartość inwestycji w projekty wspierające rozwój lub modernizację systemów monitorowania, gotowości, ostrzegania i reagowania w kontekście klęsk żywiołowych i katastrof dotyczące zagrożeń klęskami żywiołowymi związanymi z klimatem. Modernizacja powinna odnosić się przede wszystkim do nowych funkcji lub do rozbudowy istniejących systemów na poziomie krajowym i regionalnym. Wskaźnik obejmuje również inwestycje transgraniczne i ponadnarodowe w takie działania.</w:t>
            </w:r>
          </w:p>
        </w:tc>
      </w:tr>
      <w:tr w:rsidR="00D67D46" w:rsidRPr="000F4CA9" w14:paraId="13D124DA" w14:textId="77777777" w:rsidTr="003C43FE">
        <w:trPr>
          <w:trHeight w:val="1133"/>
        </w:trPr>
        <w:tc>
          <w:tcPr>
            <w:tcW w:w="552" w:type="dxa"/>
            <w:vAlign w:val="center"/>
          </w:tcPr>
          <w:p w14:paraId="72D0B143" w14:textId="77777777" w:rsidR="00D67D46" w:rsidRPr="00EA42DB" w:rsidRDefault="00D67D46" w:rsidP="00D67D46">
            <w:pPr>
              <w:spacing w:before="60" w:after="60"/>
              <w:rPr>
                <w:rFonts w:cstheme="minorHAnsi"/>
                <w:sz w:val="20"/>
                <w:szCs w:val="20"/>
              </w:rPr>
            </w:pPr>
            <w:r w:rsidRPr="00EA42DB">
              <w:rPr>
                <w:rFonts w:cstheme="minorHAnsi"/>
                <w:sz w:val="20"/>
                <w:szCs w:val="20"/>
              </w:rPr>
              <w:t>2.</w:t>
            </w:r>
          </w:p>
        </w:tc>
        <w:tc>
          <w:tcPr>
            <w:tcW w:w="2977" w:type="dxa"/>
            <w:vAlign w:val="center"/>
          </w:tcPr>
          <w:p w14:paraId="4B2D4808" w14:textId="5F143B28" w:rsidR="00D67D46" w:rsidRPr="00BE02BF" w:rsidRDefault="00D67D46" w:rsidP="00D67D46">
            <w:pPr>
              <w:spacing w:before="60" w:after="60"/>
              <w:rPr>
                <w:rFonts w:eastAsia="Times New Roman" w:cstheme="minorHAnsi"/>
                <w:i/>
                <w:iCs/>
                <w:sz w:val="20"/>
                <w:szCs w:val="20"/>
              </w:rPr>
            </w:pPr>
            <w:r w:rsidRPr="00BE02BF">
              <w:rPr>
                <w:i/>
                <w:iCs/>
                <w:sz w:val="20"/>
                <w:szCs w:val="20"/>
              </w:rPr>
              <w:t>Liczba jednostek służb ratowniczych doposażonych w sprzęt do prowadzenia akcji ratowniczych i usuwania skutków katastrof</w:t>
            </w:r>
          </w:p>
        </w:tc>
        <w:tc>
          <w:tcPr>
            <w:tcW w:w="1276" w:type="dxa"/>
            <w:vAlign w:val="center"/>
          </w:tcPr>
          <w:p w14:paraId="23313BF1" w14:textId="6394069C" w:rsidR="00D67D46" w:rsidRPr="002B30FD" w:rsidRDefault="00D67D46" w:rsidP="00D67D46">
            <w:pPr>
              <w:spacing w:before="60" w:after="60"/>
              <w:jc w:val="center"/>
              <w:rPr>
                <w:rFonts w:eastAsia="Times New Roman" w:cstheme="minorHAnsi"/>
                <w:sz w:val="20"/>
                <w:szCs w:val="20"/>
              </w:rPr>
            </w:pPr>
            <w:r w:rsidRPr="002B30FD">
              <w:rPr>
                <w:rFonts w:cstheme="minorHAnsi"/>
                <w:sz w:val="20"/>
                <w:szCs w:val="20"/>
              </w:rPr>
              <w:t>szt.</w:t>
            </w:r>
          </w:p>
        </w:tc>
        <w:tc>
          <w:tcPr>
            <w:tcW w:w="1276" w:type="dxa"/>
            <w:vAlign w:val="center"/>
          </w:tcPr>
          <w:p w14:paraId="32D548A5" w14:textId="40CE73C0" w:rsidR="00D67D46" w:rsidRPr="002B30FD" w:rsidRDefault="00D67D46" w:rsidP="00D67D46">
            <w:pPr>
              <w:spacing w:before="60" w:after="60"/>
              <w:jc w:val="center"/>
              <w:rPr>
                <w:rFonts w:cstheme="minorHAnsi"/>
                <w:sz w:val="20"/>
                <w:szCs w:val="20"/>
              </w:rPr>
            </w:pPr>
            <w:r w:rsidRPr="002B30FD">
              <w:rPr>
                <w:rFonts w:cstheme="minorHAnsi"/>
                <w:sz w:val="20"/>
                <w:szCs w:val="20"/>
              </w:rPr>
              <w:t>produkt</w:t>
            </w:r>
          </w:p>
        </w:tc>
        <w:tc>
          <w:tcPr>
            <w:tcW w:w="1417" w:type="dxa"/>
            <w:vAlign w:val="center"/>
          </w:tcPr>
          <w:p w14:paraId="3B50AF58" w14:textId="76912BD9" w:rsidR="00D67D46" w:rsidRPr="002B30FD" w:rsidRDefault="00D67D46" w:rsidP="00D67D46">
            <w:pPr>
              <w:spacing w:before="60" w:after="60"/>
              <w:jc w:val="center"/>
              <w:rPr>
                <w:rFonts w:cstheme="minorHAnsi"/>
                <w:sz w:val="20"/>
                <w:szCs w:val="20"/>
              </w:rPr>
            </w:pPr>
            <w:r>
              <w:rPr>
                <w:rFonts w:cstheme="minorHAnsi"/>
                <w:sz w:val="20"/>
                <w:szCs w:val="20"/>
              </w:rPr>
              <w:t>programowy</w:t>
            </w:r>
          </w:p>
        </w:tc>
        <w:tc>
          <w:tcPr>
            <w:tcW w:w="992" w:type="dxa"/>
            <w:vAlign w:val="center"/>
          </w:tcPr>
          <w:p w14:paraId="21638ECC" w14:textId="410C5E54" w:rsidR="00D67D46" w:rsidRPr="002B30FD" w:rsidRDefault="00D67D46" w:rsidP="00D67D46">
            <w:pPr>
              <w:spacing w:before="60" w:after="60"/>
              <w:jc w:val="center"/>
              <w:rPr>
                <w:rFonts w:cstheme="minorHAnsi"/>
                <w:sz w:val="20"/>
                <w:szCs w:val="20"/>
              </w:rPr>
            </w:pPr>
            <w:r w:rsidRPr="002B30FD">
              <w:rPr>
                <w:rFonts w:cstheme="minorHAnsi"/>
                <w:sz w:val="20"/>
                <w:szCs w:val="20"/>
              </w:rPr>
              <w:t>-</w:t>
            </w:r>
          </w:p>
        </w:tc>
        <w:tc>
          <w:tcPr>
            <w:tcW w:w="6096" w:type="dxa"/>
            <w:vAlign w:val="center"/>
          </w:tcPr>
          <w:p w14:paraId="0369FB0F" w14:textId="50E9F4BC" w:rsidR="00D67D46" w:rsidRPr="002B30FD" w:rsidRDefault="00D67D46" w:rsidP="00D67D46">
            <w:pPr>
              <w:spacing w:before="60" w:after="60"/>
              <w:jc w:val="both"/>
              <w:rPr>
                <w:rFonts w:cstheme="minorHAnsi"/>
                <w:sz w:val="20"/>
                <w:szCs w:val="20"/>
              </w:rPr>
            </w:pPr>
            <w:r w:rsidRPr="00D67D46">
              <w:rPr>
                <w:rFonts w:cstheme="minorHAnsi"/>
                <w:sz w:val="20"/>
                <w:szCs w:val="20"/>
              </w:rPr>
              <w:t xml:space="preserve">Wskaźnik mierzy liczbę jednostek służb ratowniczych, które w ramach zrealizowanych projektów zostały doposażone w sprzęt do prowadzenia akcji ratowniczych i usuwania skutków katastrof.    Jednostki służb ratowniczych –jednostki ochrony przeciwpożarowej (jednostki organizacyjne Państwowej Straży Pożarnej; jednostki organizacyjne Wojskowej Ochrony Przeciwpożarowej; zakładowa straż pożarna; zakładowa służba ratownicza; gminna zawodowa straż pożarna; powiatowa (miejska) zawodowa straż pożarna; terenowa służba </w:t>
            </w:r>
            <w:r w:rsidRPr="00D67D46">
              <w:rPr>
                <w:rFonts w:cstheme="minorHAnsi"/>
                <w:sz w:val="20"/>
                <w:szCs w:val="20"/>
              </w:rPr>
              <w:lastRenderedPageBreak/>
              <w:t>ratownicza; ochotnicza straż pożarna; związek ochotniczych straży pożarnych; inne jednostki ratownicze), inne służby, inspekcje, straże, instytucje oraz podmioty, które dobrowolnie w drodze umowy cywilnoprawnej zgodziły się współdziałać w akcjach ratowniczych, należące do Krajowego Systemu Ratowniczo-Gaśniczego (art. 2 pkt 4 oraz art. 15 ustawy z dnia 24 sierpnia 1991 r. o ochronie przeciwpożarowej).    Sposób pomiaru: należy zliczyć liczbę jednostek służb ratowniczych, które w ramach zrealizowanych projektów zostały doposażone w sprzęt do prowadzenia akcji ratowniczych i usuwania skutków katastrof. Należy tu wziąć pod uwagę sprzęt służący działaniom gaśniczym, ratownictwa technicznego, chemicznego, ekologicznego, radiacyjnego, ratownictwa ludzi, zwierząt, na obszarach wodnych, ratownictwa medycznego, wysokościowego.    Szczególne przypadki podczas pomiaru: każda jednostka służb ratowniczych może być liczona tylko raz do wskaźnika nawet jeśli kupuje kilka jednostek sprzętu lub pojazdów.</w:t>
            </w:r>
          </w:p>
        </w:tc>
      </w:tr>
      <w:tr w:rsidR="00D67D46" w:rsidRPr="000F4CA9" w14:paraId="67BC0499" w14:textId="77777777" w:rsidTr="003C43FE">
        <w:tc>
          <w:tcPr>
            <w:tcW w:w="552" w:type="dxa"/>
            <w:tcBorders>
              <w:top w:val="single" w:sz="4" w:space="0" w:color="33CC33"/>
              <w:bottom w:val="single" w:sz="4" w:space="0" w:color="33CC33"/>
            </w:tcBorders>
            <w:vAlign w:val="center"/>
          </w:tcPr>
          <w:p w14:paraId="2D1B82DD" w14:textId="2457FC99" w:rsidR="00D67D46" w:rsidRPr="002B30FD" w:rsidRDefault="00D67D46" w:rsidP="00D67D46">
            <w:pPr>
              <w:spacing w:before="60" w:after="60"/>
              <w:rPr>
                <w:rFonts w:cstheme="minorHAnsi"/>
                <w:sz w:val="20"/>
                <w:szCs w:val="20"/>
              </w:rPr>
            </w:pPr>
            <w:r>
              <w:rPr>
                <w:rFonts w:cstheme="minorHAnsi"/>
                <w:sz w:val="20"/>
                <w:szCs w:val="20"/>
              </w:rPr>
              <w:lastRenderedPageBreak/>
              <w:t>3</w:t>
            </w:r>
            <w:r w:rsidRPr="002B30FD">
              <w:rPr>
                <w:rFonts w:cstheme="minorHAnsi"/>
                <w:sz w:val="20"/>
                <w:szCs w:val="20"/>
              </w:rPr>
              <w:t>.</w:t>
            </w:r>
          </w:p>
        </w:tc>
        <w:tc>
          <w:tcPr>
            <w:tcW w:w="2977" w:type="dxa"/>
            <w:tcBorders>
              <w:top w:val="single" w:sz="4" w:space="0" w:color="33CC33"/>
              <w:bottom w:val="single" w:sz="4" w:space="0" w:color="33CC33"/>
            </w:tcBorders>
            <w:vAlign w:val="center"/>
          </w:tcPr>
          <w:p w14:paraId="137819DA" w14:textId="4E714216" w:rsidR="00D67D46" w:rsidRPr="00BE02BF" w:rsidRDefault="00D67D46" w:rsidP="00D67D46">
            <w:pPr>
              <w:spacing w:before="60" w:after="60"/>
              <w:rPr>
                <w:rFonts w:cstheme="minorHAnsi"/>
                <w:i/>
                <w:iCs/>
                <w:color w:val="000000"/>
                <w:sz w:val="20"/>
                <w:szCs w:val="20"/>
              </w:rPr>
            </w:pPr>
            <w:r w:rsidRPr="00BE02BF">
              <w:rPr>
                <w:i/>
                <w:iCs/>
                <w:sz w:val="20"/>
                <w:szCs w:val="20"/>
              </w:rPr>
              <w:t>Liczba miast wspartych w zakresie adaptacji do zmian klimatu</w:t>
            </w:r>
          </w:p>
        </w:tc>
        <w:tc>
          <w:tcPr>
            <w:tcW w:w="1276" w:type="dxa"/>
            <w:tcBorders>
              <w:top w:val="single" w:sz="4" w:space="0" w:color="33CC33"/>
              <w:bottom w:val="single" w:sz="4" w:space="0" w:color="33CC33"/>
            </w:tcBorders>
            <w:vAlign w:val="center"/>
          </w:tcPr>
          <w:p w14:paraId="01847134" w14:textId="129A3010" w:rsidR="00D67D46" w:rsidRPr="002B30FD" w:rsidRDefault="00D67D46" w:rsidP="00D67D46">
            <w:pPr>
              <w:spacing w:before="60" w:after="60"/>
              <w:jc w:val="center"/>
              <w:rPr>
                <w:rFonts w:eastAsia="Times New Roman" w:cstheme="minorHAnsi"/>
                <w:sz w:val="20"/>
                <w:szCs w:val="20"/>
              </w:rPr>
            </w:pPr>
            <w:r w:rsidRPr="002B30FD">
              <w:rPr>
                <w:rFonts w:cstheme="minorHAnsi"/>
                <w:sz w:val="20"/>
                <w:szCs w:val="20"/>
              </w:rPr>
              <w:t>szt.</w:t>
            </w:r>
          </w:p>
        </w:tc>
        <w:tc>
          <w:tcPr>
            <w:tcW w:w="1276" w:type="dxa"/>
            <w:tcBorders>
              <w:top w:val="single" w:sz="4" w:space="0" w:color="33CC33"/>
              <w:bottom w:val="single" w:sz="4" w:space="0" w:color="33CC33"/>
            </w:tcBorders>
            <w:vAlign w:val="center"/>
          </w:tcPr>
          <w:p w14:paraId="50F7836C" w14:textId="40327E33" w:rsidR="00D67D46" w:rsidRPr="002B30FD" w:rsidRDefault="00D67D46" w:rsidP="00D67D46">
            <w:pPr>
              <w:spacing w:before="60" w:after="60"/>
              <w:jc w:val="center"/>
              <w:rPr>
                <w:rFonts w:cstheme="minorHAnsi"/>
                <w:sz w:val="20"/>
                <w:szCs w:val="20"/>
              </w:rPr>
            </w:pPr>
            <w:r w:rsidRPr="002B30FD">
              <w:rPr>
                <w:rFonts w:cstheme="minorHAnsi"/>
                <w:sz w:val="20"/>
                <w:szCs w:val="20"/>
              </w:rPr>
              <w:t>produkt</w:t>
            </w:r>
          </w:p>
        </w:tc>
        <w:tc>
          <w:tcPr>
            <w:tcW w:w="1417" w:type="dxa"/>
            <w:tcBorders>
              <w:top w:val="single" w:sz="4" w:space="0" w:color="33CC33"/>
              <w:bottom w:val="single" w:sz="4" w:space="0" w:color="33CC33"/>
            </w:tcBorders>
            <w:vAlign w:val="center"/>
          </w:tcPr>
          <w:p w14:paraId="4279B488" w14:textId="0A9E6F62" w:rsidR="00D67D46" w:rsidRPr="002B30FD" w:rsidRDefault="00D67D46" w:rsidP="00D67D46">
            <w:pPr>
              <w:spacing w:before="60" w:after="60"/>
              <w:jc w:val="center"/>
              <w:rPr>
                <w:rFonts w:cstheme="minorHAnsi"/>
                <w:sz w:val="20"/>
                <w:szCs w:val="20"/>
              </w:rPr>
            </w:pPr>
            <w:r>
              <w:rPr>
                <w:rFonts w:cstheme="minorHAnsi"/>
                <w:sz w:val="20"/>
                <w:szCs w:val="20"/>
              </w:rPr>
              <w:t>programowy</w:t>
            </w:r>
          </w:p>
        </w:tc>
        <w:tc>
          <w:tcPr>
            <w:tcW w:w="992" w:type="dxa"/>
            <w:tcBorders>
              <w:top w:val="single" w:sz="4" w:space="0" w:color="33CC33"/>
              <w:bottom w:val="single" w:sz="4" w:space="0" w:color="33CC33"/>
            </w:tcBorders>
            <w:vAlign w:val="center"/>
          </w:tcPr>
          <w:p w14:paraId="520F92BB" w14:textId="2E17FE45" w:rsidR="00D67D46" w:rsidRPr="002B30FD" w:rsidRDefault="00D67D46" w:rsidP="00D67D46">
            <w:pPr>
              <w:spacing w:before="60" w:after="60"/>
              <w:jc w:val="center"/>
              <w:rPr>
                <w:rFonts w:cstheme="minorHAnsi"/>
                <w:sz w:val="20"/>
                <w:szCs w:val="20"/>
              </w:rPr>
            </w:pPr>
            <w:r w:rsidRPr="002B30FD">
              <w:rPr>
                <w:rFonts w:cstheme="minorHAnsi"/>
                <w:sz w:val="20"/>
                <w:szCs w:val="20"/>
              </w:rPr>
              <w:t>-</w:t>
            </w:r>
          </w:p>
        </w:tc>
        <w:tc>
          <w:tcPr>
            <w:tcW w:w="6096" w:type="dxa"/>
            <w:tcBorders>
              <w:top w:val="single" w:sz="4" w:space="0" w:color="33CC33"/>
              <w:bottom w:val="single" w:sz="4" w:space="0" w:color="33CC33"/>
            </w:tcBorders>
            <w:vAlign w:val="center"/>
          </w:tcPr>
          <w:p w14:paraId="3A7CFB28" w14:textId="4912ED9A" w:rsidR="00D67D46" w:rsidRPr="002B30FD" w:rsidRDefault="00D67D46" w:rsidP="00D67D46">
            <w:pPr>
              <w:spacing w:before="60" w:after="60"/>
              <w:jc w:val="both"/>
              <w:rPr>
                <w:rFonts w:cstheme="minorHAnsi"/>
                <w:sz w:val="20"/>
                <w:szCs w:val="20"/>
              </w:rPr>
            </w:pPr>
            <w:r w:rsidRPr="00BE02BF">
              <w:rPr>
                <w:rFonts w:cstheme="minorHAnsi"/>
                <w:sz w:val="20"/>
                <w:szCs w:val="20"/>
              </w:rPr>
              <w:t>Liczba miast, w ramach których zostały zrealizowane projekty służące adaptacji do zmian klimatu. Miasta, w których realizowany jest więcej niż 1 projekt, są zliczane jednokrotnie na poziomie celu szczegółowego.</w:t>
            </w:r>
          </w:p>
        </w:tc>
      </w:tr>
      <w:tr w:rsidR="00D67D46" w:rsidRPr="000F4CA9" w14:paraId="3B096FA0" w14:textId="77777777" w:rsidTr="003C43FE">
        <w:tc>
          <w:tcPr>
            <w:tcW w:w="552" w:type="dxa"/>
            <w:vAlign w:val="center"/>
          </w:tcPr>
          <w:p w14:paraId="33049753" w14:textId="46AD5023" w:rsidR="00D67D46" w:rsidRPr="002B30FD" w:rsidRDefault="00D67D46" w:rsidP="00D67D46">
            <w:pPr>
              <w:spacing w:before="60" w:after="60"/>
              <w:rPr>
                <w:rFonts w:cstheme="minorHAnsi"/>
                <w:sz w:val="20"/>
                <w:szCs w:val="20"/>
              </w:rPr>
            </w:pPr>
            <w:r>
              <w:rPr>
                <w:rFonts w:cstheme="minorHAnsi"/>
                <w:sz w:val="20"/>
                <w:szCs w:val="20"/>
              </w:rPr>
              <w:t>4</w:t>
            </w:r>
            <w:r w:rsidRPr="002B30FD">
              <w:rPr>
                <w:rFonts w:cstheme="minorHAnsi"/>
                <w:sz w:val="20"/>
                <w:szCs w:val="20"/>
              </w:rPr>
              <w:t>.</w:t>
            </w:r>
          </w:p>
        </w:tc>
        <w:tc>
          <w:tcPr>
            <w:tcW w:w="2977" w:type="dxa"/>
            <w:vAlign w:val="center"/>
          </w:tcPr>
          <w:p w14:paraId="522E23A4" w14:textId="488AFBEA" w:rsidR="00D67D46" w:rsidRPr="00AE66D2" w:rsidRDefault="00D67D46" w:rsidP="00D67D46">
            <w:pPr>
              <w:spacing w:before="60" w:after="60"/>
              <w:rPr>
                <w:rFonts w:eastAsia="Times New Roman" w:cstheme="minorHAnsi"/>
                <w:i/>
                <w:iCs/>
                <w:sz w:val="20"/>
                <w:szCs w:val="20"/>
              </w:rPr>
            </w:pPr>
            <w:r w:rsidRPr="00AE66D2">
              <w:rPr>
                <w:i/>
                <w:iCs/>
                <w:sz w:val="20"/>
                <w:szCs w:val="20"/>
              </w:rPr>
              <w:t>Powierzchnia objęta środkami ochrony przed niekontrolowanymi pożarami</w:t>
            </w:r>
          </w:p>
        </w:tc>
        <w:tc>
          <w:tcPr>
            <w:tcW w:w="1276" w:type="dxa"/>
            <w:vAlign w:val="center"/>
          </w:tcPr>
          <w:p w14:paraId="4F1A3846" w14:textId="7FDB2711" w:rsidR="00D67D46" w:rsidRPr="002B30FD" w:rsidRDefault="00D67D46" w:rsidP="00D67D46">
            <w:pPr>
              <w:spacing w:before="60" w:after="60"/>
              <w:jc w:val="center"/>
              <w:rPr>
                <w:rFonts w:eastAsia="Times New Roman" w:cstheme="minorHAnsi"/>
                <w:sz w:val="20"/>
                <w:szCs w:val="20"/>
              </w:rPr>
            </w:pPr>
            <w:r>
              <w:rPr>
                <w:rFonts w:eastAsia="Times New Roman" w:cstheme="minorHAnsi"/>
                <w:sz w:val="20"/>
                <w:szCs w:val="20"/>
              </w:rPr>
              <w:t>ha</w:t>
            </w:r>
          </w:p>
        </w:tc>
        <w:tc>
          <w:tcPr>
            <w:tcW w:w="1276" w:type="dxa"/>
            <w:vAlign w:val="center"/>
          </w:tcPr>
          <w:p w14:paraId="3BEDAC46" w14:textId="1C3722AC" w:rsidR="00D67D46" w:rsidRPr="002B30FD" w:rsidRDefault="00D67D46" w:rsidP="00D67D46">
            <w:pPr>
              <w:spacing w:before="60" w:after="60"/>
              <w:jc w:val="center"/>
              <w:rPr>
                <w:rFonts w:cstheme="minorHAnsi"/>
                <w:sz w:val="20"/>
                <w:szCs w:val="20"/>
              </w:rPr>
            </w:pPr>
            <w:r w:rsidRPr="002B30FD">
              <w:rPr>
                <w:rFonts w:cstheme="minorHAnsi"/>
                <w:sz w:val="20"/>
                <w:szCs w:val="20"/>
              </w:rPr>
              <w:t>produkt</w:t>
            </w:r>
          </w:p>
        </w:tc>
        <w:tc>
          <w:tcPr>
            <w:tcW w:w="1417" w:type="dxa"/>
            <w:vAlign w:val="center"/>
          </w:tcPr>
          <w:p w14:paraId="27F6C0EA" w14:textId="54B29841" w:rsidR="00D67D46" w:rsidRPr="002B30FD" w:rsidRDefault="00D67D46" w:rsidP="00D67D46">
            <w:pPr>
              <w:spacing w:before="60" w:after="60"/>
              <w:jc w:val="center"/>
              <w:rPr>
                <w:rFonts w:cstheme="minorHAnsi"/>
                <w:sz w:val="20"/>
                <w:szCs w:val="20"/>
              </w:rPr>
            </w:pPr>
            <w:r>
              <w:rPr>
                <w:rFonts w:cstheme="minorHAnsi"/>
                <w:sz w:val="20"/>
                <w:szCs w:val="20"/>
              </w:rPr>
              <w:t>programowy</w:t>
            </w:r>
          </w:p>
        </w:tc>
        <w:tc>
          <w:tcPr>
            <w:tcW w:w="992" w:type="dxa"/>
            <w:vAlign w:val="center"/>
          </w:tcPr>
          <w:p w14:paraId="40538F6C" w14:textId="5100BB16" w:rsidR="00D67D46" w:rsidRPr="002B30FD" w:rsidRDefault="00D67D46" w:rsidP="00D67D46">
            <w:pPr>
              <w:spacing w:before="60" w:after="60"/>
              <w:jc w:val="center"/>
              <w:rPr>
                <w:rFonts w:cstheme="minorHAnsi"/>
                <w:sz w:val="20"/>
                <w:szCs w:val="20"/>
              </w:rPr>
            </w:pPr>
          </w:p>
        </w:tc>
        <w:tc>
          <w:tcPr>
            <w:tcW w:w="6096" w:type="dxa"/>
            <w:vAlign w:val="center"/>
          </w:tcPr>
          <w:p w14:paraId="28E38246" w14:textId="0A078D32" w:rsidR="00D67D46" w:rsidRPr="002B30FD" w:rsidRDefault="00D67D46" w:rsidP="00D67D46">
            <w:pPr>
              <w:spacing w:before="60" w:after="60"/>
              <w:jc w:val="both"/>
              <w:rPr>
                <w:rFonts w:cstheme="minorHAnsi"/>
                <w:color w:val="C00000"/>
                <w:sz w:val="20"/>
                <w:szCs w:val="20"/>
              </w:rPr>
            </w:pPr>
            <w:r w:rsidRPr="00AE66D2">
              <w:rPr>
                <w:rFonts w:cstheme="minorHAnsi"/>
                <w:sz w:val="20"/>
                <w:szCs w:val="20"/>
              </w:rPr>
              <w:t>Powierzchnia objęta środkami ochrony przed niekontrolowanymi pożarami rozwiniętymi lub znacznie zmodernizowanymi w ramach projektów objętych wsparciem. Znaczna modernizacja odnosi się na przykład do nowych funkcji ochrony lub realizacji istniejących środków ochrony na większą skalę.</w:t>
            </w:r>
          </w:p>
        </w:tc>
      </w:tr>
      <w:tr w:rsidR="00D67D46" w:rsidRPr="000F4CA9" w14:paraId="1CF1936F" w14:textId="77777777" w:rsidTr="003C43FE">
        <w:trPr>
          <w:trHeight w:val="63"/>
        </w:trPr>
        <w:tc>
          <w:tcPr>
            <w:tcW w:w="552" w:type="dxa"/>
            <w:tcBorders>
              <w:top w:val="single" w:sz="8" w:space="0" w:color="33CC33"/>
              <w:bottom w:val="single" w:sz="8" w:space="0" w:color="33CC33"/>
            </w:tcBorders>
            <w:vAlign w:val="center"/>
          </w:tcPr>
          <w:p w14:paraId="4415D23F" w14:textId="40633889" w:rsidR="00D67D46" w:rsidRPr="002B30FD" w:rsidRDefault="00D67D46" w:rsidP="00D67D46">
            <w:pPr>
              <w:spacing w:before="60" w:after="60"/>
              <w:rPr>
                <w:rFonts w:cstheme="minorHAnsi"/>
                <w:sz w:val="20"/>
                <w:szCs w:val="20"/>
              </w:rPr>
            </w:pPr>
            <w:r>
              <w:rPr>
                <w:rFonts w:cstheme="minorHAnsi"/>
                <w:sz w:val="20"/>
                <w:szCs w:val="20"/>
              </w:rPr>
              <w:t>5</w:t>
            </w:r>
            <w:r w:rsidRPr="002B30FD">
              <w:rPr>
                <w:rFonts w:cstheme="minorHAnsi"/>
                <w:sz w:val="20"/>
                <w:szCs w:val="20"/>
              </w:rPr>
              <w:t>.</w:t>
            </w:r>
          </w:p>
        </w:tc>
        <w:tc>
          <w:tcPr>
            <w:tcW w:w="2977" w:type="dxa"/>
            <w:tcBorders>
              <w:top w:val="single" w:sz="8" w:space="0" w:color="33CC33"/>
              <w:bottom w:val="single" w:sz="8" w:space="0" w:color="33CC33"/>
            </w:tcBorders>
            <w:vAlign w:val="center"/>
          </w:tcPr>
          <w:p w14:paraId="142F87C4" w14:textId="6B2A493F" w:rsidR="00D67D46" w:rsidRPr="00EA42DB" w:rsidRDefault="00D67D46" w:rsidP="00D67D46">
            <w:pPr>
              <w:autoSpaceDE w:val="0"/>
              <w:autoSpaceDN w:val="0"/>
              <w:adjustRightInd w:val="0"/>
              <w:rPr>
                <w:rFonts w:cstheme="minorHAnsi"/>
                <w:i/>
                <w:sz w:val="20"/>
                <w:szCs w:val="20"/>
              </w:rPr>
            </w:pPr>
            <w:r w:rsidRPr="0060480B">
              <w:rPr>
                <w:rFonts w:cstheme="minorHAnsi"/>
                <w:i/>
                <w:sz w:val="20"/>
                <w:szCs w:val="20"/>
              </w:rPr>
              <w:t>Liczba zakupionych wozów pożarniczych wyposażonych w sprzęt do prowadzenia akcji ratowniczych i usuwania skutków katastrof</w:t>
            </w:r>
          </w:p>
        </w:tc>
        <w:tc>
          <w:tcPr>
            <w:tcW w:w="1276" w:type="dxa"/>
            <w:tcBorders>
              <w:top w:val="single" w:sz="8" w:space="0" w:color="33CC33"/>
              <w:bottom w:val="single" w:sz="8" w:space="0" w:color="33CC33"/>
            </w:tcBorders>
            <w:vAlign w:val="center"/>
          </w:tcPr>
          <w:p w14:paraId="7E782B9D" w14:textId="5336BC34" w:rsidR="00D67D46" w:rsidRPr="002B30FD" w:rsidRDefault="00D67D46" w:rsidP="00D67D46">
            <w:pPr>
              <w:spacing w:before="60" w:after="60"/>
              <w:jc w:val="center"/>
              <w:rPr>
                <w:rFonts w:cstheme="minorHAnsi"/>
                <w:sz w:val="20"/>
                <w:szCs w:val="20"/>
              </w:rPr>
            </w:pPr>
            <w:r w:rsidRPr="002B30FD">
              <w:rPr>
                <w:rFonts w:cstheme="minorHAnsi"/>
                <w:sz w:val="20"/>
                <w:szCs w:val="20"/>
              </w:rPr>
              <w:t>szt.</w:t>
            </w:r>
          </w:p>
        </w:tc>
        <w:tc>
          <w:tcPr>
            <w:tcW w:w="1276" w:type="dxa"/>
            <w:tcBorders>
              <w:top w:val="single" w:sz="8" w:space="0" w:color="33CC33"/>
              <w:bottom w:val="single" w:sz="8" w:space="0" w:color="33CC33"/>
            </w:tcBorders>
            <w:vAlign w:val="center"/>
          </w:tcPr>
          <w:p w14:paraId="632E15D4" w14:textId="75DEE869" w:rsidR="00D67D46" w:rsidRPr="002B30FD" w:rsidRDefault="00D67D46" w:rsidP="00D67D46">
            <w:pPr>
              <w:spacing w:before="80" w:after="80"/>
              <w:jc w:val="center"/>
              <w:rPr>
                <w:rFonts w:cstheme="minorHAnsi"/>
                <w:sz w:val="20"/>
                <w:szCs w:val="20"/>
              </w:rPr>
            </w:pPr>
            <w:r w:rsidRPr="002B30FD">
              <w:rPr>
                <w:rFonts w:cstheme="minorHAnsi"/>
                <w:sz w:val="20"/>
                <w:szCs w:val="20"/>
              </w:rPr>
              <w:t>produkt</w:t>
            </w:r>
          </w:p>
        </w:tc>
        <w:tc>
          <w:tcPr>
            <w:tcW w:w="1417" w:type="dxa"/>
            <w:tcBorders>
              <w:top w:val="single" w:sz="8" w:space="0" w:color="33CC33"/>
              <w:bottom w:val="single" w:sz="8" w:space="0" w:color="33CC33"/>
            </w:tcBorders>
            <w:vAlign w:val="center"/>
          </w:tcPr>
          <w:p w14:paraId="7A084027" w14:textId="6DFF04BA"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299205B7" w14:textId="3AEE960B"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61F20689" w14:textId="5AC04A81" w:rsidR="00D67D46" w:rsidRPr="002B30FD" w:rsidRDefault="00D67D46" w:rsidP="00D67D46">
            <w:pPr>
              <w:autoSpaceDE w:val="0"/>
              <w:autoSpaceDN w:val="0"/>
              <w:adjustRightInd w:val="0"/>
              <w:spacing w:before="80" w:after="40"/>
              <w:jc w:val="both"/>
              <w:rPr>
                <w:rFonts w:cstheme="minorHAnsi"/>
                <w:sz w:val="20"/>
                <w:szCs w:val="20"/>
              </w:rPr>
            </w:pPr>
            <w:r w:rsidRPr="0060480B">
              <w:rPr>
                <w:rFonts w:cstheme="minorHAnsi"/>
                <w:sz w:val="20"/>
                <w:szCs w:val="20"/>
              </w:rPr>
              <w:t xml:space="preserve">Wskaźnik mierzy liczbę zakupionych wozów pożarniczych wyposażonych w sprzęt do prowadzenia akcji ratowniczych i usuwania skutków katastrof przez jednostkę służb ratowniczych.    Wóz (samochód) pożarniczy – specjalnie oznakowany pojazd wyposażony w sprzęt do prowadzenia akcji ratowniczych i usuwania skutków katastrof.    </w:t>
            </w:r>
          </w:p>
        </w:tc>
      </w:tr>
      <w:tr w:rsidR="00D67D46" w:rsidRPr="000F4CA9" w14:paraId="2668122F" w14:textId="77777777" w:rsidTr="003C43FE">
        <w:trPr>
          <w:trHeight w:val="63"/>
        </w:trPr>
        <w:tc>
          <w:tcPr>
            <w:tcW w:w="552" w:type="dxa"/>
            <w:tcBorders>
              <w:top w:val="single" w:sz="8" w:space="0" w:color="33CC33"/>
              <w:bottom w:val="single" w:sz="8" w:space="0" w:color="33CC33"/>
            </w:tcBorders>
            <w:vAlign w:val="center"/>
          </w:tcPr>
          <w:p w14:paraId="25781DA1" w14:textId="02C6A8E2" w:rsidR="00D67D46" w:rsidRPr="002B30FD" w:rsidRDefault="00D67D46" w:rsidP="00D67D46">
            <w:pPr>
              <w:spacing w:before="60" w:after="60"/>
              <w:rPr>
                <w:rFonts w:cstheme="minorHAnsi"/>
                <w:sz w:val="20"/>
                <w:szCs w:val="20"/>
              </w:rPr>
            </w:pPr>
            <w:r>
              <w:rPr>
                <w:rFonts w:cstheme="minorHAnsi"/>
                <w:sz w:val="20"/>
                <w:szCs w:val="20"/>
              </w:rPr>
              <w:t>6</w:t>
            </w:r>
            <w:r w:rsidRPr="002B30FD">
              <w:rPr>
                <w:rFonts w:cstheme="minorHAnsi"/>
                <w:sz w:val="20"/>
                <w:szCs w:val="20"/>
              </w:rPr>
              <w:t>.</w:t>
            </w:r>
          </w:p>
        </w:tc>
        <w:tc>
          <w:tcPr>
            <w:tcW w:w="2977" w:type="dxa"/>
            <w:tcBorders>
              <w:top w:val="single" w:sz="8" w:space="0" w:color="33CC33"/>
              <w:bottom w:val="single" w:sz="8" w:space="0" w:color="33CC33"/>
            </w:tcBorders>
            <w:vAlign w:val="center"/>
          </w:tcPr>
          <w:p w14:paraId="0C157ED6" w14:textId="18553648" w:rsidR="00D67D46" w:rsidRPr="002B30FD" w:rsidRDefault="00D67D46" w:rsidP="00D67D46">
            <w:pPr>
              <w:autoSpaceDE w:val="0"/>
              <w:autoSpaceDN w:val="0"/>
              <w:adjustRightInd w:val="0"/>
              <w:rPr>
                <w:rFonts w:cstheme="minorHAnsi"/>
                <w:i/>
                <w:sz w:val="20"/>
                <w:szCs w:val="20"/>
              </w:rPr>
            </w:pPr>
            <w:r w:rsidRPr="0060480B">
              <w:rPr>
                <w:rFonts w:cstheme="minorHAnsi"/>
                <w:i/>
                <w:sz w:val="20"/>
                <w:szCs w:val="20"/>
              </w:rPr>
              <w:t>Pojemność obiektów małej retencji</w:t>
            </w:r>
          </w:p>
        </w:tc>
        <w:tc>
          <w:tcPr>
            <w:tcW w:w="1276" w:type="dxa"/>
            <w:tcBorders>
              <w:top w:val="single" w:sz="8" w:space="0" w:color="33CC33"/>
              <w:bottom w:val="single" w:sz="8" w:space="0" w:color="33CC33"/>
            </w:tcBorders>
            <w:vAlign w:val="center"/>
          </w:tcPr>
          <w:p w14:paraId="2FAF86F3" w14:textId="39858728" w:rsidR="00D67D46" w:rsidRPr="0060480B" w:rsidRDefault="00D67D46" w:rsidP="00D67D46">
            <w:pPr>
              <w:spacing w:before="60" w:after="60"/>
              <w:jc w:val="center"/>
              <w:rPr>
                <w:rFonts w:cstheme="minorHAnsi"/>
                <w:sz w:val="20"/>
                <w:szCs w:val="20"/>
                <w:vertAlign w:val="superscript"/>
              </w:rPr>
            </w:pPr>
            <w:r>
              <w:rPr>
                <w:rFonts w:cstheme="minorHAnsi"/>
                <w:sz w:val="20"/>
                <w:szCs w:val="20"/>
              </w:rPr>
              <w:t>m</w:t>
            </w:r>
            <w:r>
              <w:rPr>
                <w:rFonts w:cstheme="minorHAnsi"/>
                <w:sz w:val="20"/>
                <w:szCs w:val="20"/>
                <w:vertAlign w:val="superscript"/>
              </w:rPr>
              <w:t>3</w:t>
            </w:r>
          </w:p>
        </w:tc>
        <w:tc>
          <w:tcPr>
            <w:tcW w:w="1276" w:type="dxa"/>
            <w:tcBorders>
              <w:top w:val="single" w:sz="8" w:space="0" w:color="33CC33"/>
              <w:bottom w:val="single" w:sz="8" w:space="0" w:color="33CC33"/>
            </w:tcBorders>
            <w:vAlign w:val="center"/>
          </w:tcPr>
          <w:p w14:paraId="7BD8DC62" w14:textId="0D965999" w:rsidR="00D67D46" w:rsidRPr="002B30FD" w:rsidRDefault="00D67D46" w:rsidP="00D67D46">
            <w:pPr>
              <w:spacing w:before="80" w:after="80"/>
              <w:jc w:val="center"/>
              <w:rPr>
                <w:rFonts w:cstheme="minorHAnsi"/>
                <w:sz w:val="20"/>
                <w:szCs w:val="20"/>
              </w:rPr>
            </w:pPr>
            <w:r w:rsidRPr="002B30FD">
              <w:rPr>
                <w:rFonts w:cstheme="minorHAnsi"/>
                <w:sz w:val="20"/>
                <w:szCs w:val="20"/>
              </w:rPr>
              <w:t>produkt</w:t>
            </w:r>
          </w:p>
        </w:tc>
        <w:tc>
          <w:tcPr>
            <w:tcW w:w="1417" w:type="dxa"/>
            <w:tcBorders>
              <w:top w:val="single" w:sz="8" w:space="0" w:color="33CC33"/>
              <w:bottom w:val="single" w:sz="8" w:space="0" w:color="33CC33"/>
            </w:tcBorders>
            <w:vAlign w:val="center"/>
          </w:tcPr>
          <w:p w14:paraId="498BA013" w14:textId="4C28BF5F"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0C88D824" w14:textId="4BE931CF"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78D88B61" w14:textId="0B2ED352" w:rsidR="00D67D46" w:rsidRPr="002B30FD" w:rsidRDefault="00D67D46" w:rsidP="00D67D46">
            <w:pPr>
              <w:autoSpaceDE w:val="0"/>
              <w:autoSpaceDN w:val="0"/>
              <w:adjustRightInd w:val="0"/>
              <w:spacing w:before="80" w:after="40"/>
              <w:jc w:val="both"/>
              <w:rPr>
                <w:rFonts w:cstheme="minorHAnsi"/>
                <w:sz w:val="20"/>
                <w:szCs w:val="20"/>
              </w:rPr>
            </w:pPr>
            <w:r w:rsidRPr="0060480B">
              <w:rPr>
                <w:rFonts w:cstheme="minorHAnsi"/>
                <w:sz w:val="20"/>
                <w:szCs w:val="20"/>
              </w:rPr>
              <w:t xml:space="preserve">Wskaźnik mierzy możliwą do uzyskania pojemność retencjonowania wody w wyniku budowy lub przebudowy obiektów małej retencji.    </w:t>
            </w:r>
            <w:r w:rsidRPr="0060480B">
              <w:rPr>
                <w:rFonts w:cstheme="minorHAnsi"/>
                <w:sz w:val="20"/>
                <w:szCs w:val="20"/>
              </w:rPr>
              <w:lastRenderedPageBreak/>
              <w:t>Obiekty małej retencji – budowle i urządzenia służące zatrzymaniu jak największej ilości wody w jej powierzchniowym i przypowierzchniowym obiegu. Są to: 1) sztuczne zbiorniki wodne o pojemności do 5 mln m3; 2) samodzielne budowle piętrzące i ujęcia wody; 3) stawy rybne; 4) inne budowle piętrzące lub transportujące wodę.                                                                                                                                                                                                                                                                   Sposób pomiaru: należy zliczyć potencjalną pojemność retencjonowania wody możliwą do uzyskania w wyniku budowy lub przebudowy obiektów małej retencji.</w:t>
            </w:r>
          </w:p>
        </w:tc>
      </w:tr>
      <w:tr w:rsidR="00D67D46" w:rsidRPr="000F4CA9" w14:paraId="723C1077" w14:textId="77777777" w:rsidTr="003C43FE">
        <w:trPr>
          <w:trHeight w:val="63"/>
        </w:trPr>
        <w:tc>
          <w:tcPr>
            <w:tcW w:w="552" w:type="dxa"/>
            <w:tcBorders>
              <w:top w:val="single" w:sz="8" w:space="0" w:color="33CC33"/>
              <w:bottom w:val="single" w:sz="8" w:space="0" w:color="33CC33"/>
            </w:tcBorders>
            <w:vAlign w:val="center"/>
          </w:tcPr>
          <w:p w14:paraId="1B3D8197" w14:textId="141FB9BF" w:rsidR="00D67D46" w:rsidRPr="002B30FD" w:rsidRDefault="00D67D46" w:rsidP="00D67D46">
            <w:pPr>
              <w:spacing w:before="60" w:after="60"/>
              <w:rPr>
                <w:rFonts w:cstheme="minorHAnsi"/>
                <w:sz w:val="20"/>
                <w:szCs w:val="20"/>
              </w:rPr>
            </w:pPr>
            <w:r>
              <w:rPr>
                <w:rFonts w:cstheme="minorHAnsi"/>
                <w:sz w:val="20"/>
                <w:szCs w:val="20"/>
              </w:rPr>
              <w:lastRenderedPageBreak/>
              <w:t>7</w:t>
            </w:r>
            <w:r w:rsidRPr="002B30FD">
              <w:rPr>
                <w:rFonts w:cstheme="minorHAnsi"/>
                <w:sz w:val="20"/>
                <w:szCs w:val="20"/>
              </w:rPr>
              <w:t>.</w:t>
            </w:r>
          </w:p>
        </w:tc>
        <w:tc>
          <w:tcPr>
            <w:tcW w:w="2977" w:type="dxa"/>
            <w:tcBorders>
              <w:top w:val="single" w:sz="8" w:space="0" w:color="33CC33"/>
              <w:bottom w:val="single" w:sz="8" w:space="0" w:color="33CC33"/>
            </w:tcBorders>
            <w:vAlign w:val="center"/>
          </w:tcPr>
          <w:p w14:paraId="21A14437" w14:textId="285928E1" w:rsidR="00D67D46" w:rsidRPr="002B30FD" w:rsidRDefault="00D67D46" w:rsidP="00D67D46">
            <w:pPr>
              <w:autoSpaceDE w:val="0"/>
              <w:autoSpaceDN w:val="0"/>
              <w:adjustRightInd w:val="0"/>
              <w:rPr>
                <w:rFonts w:cstheme="minorHAnsi"/>
                <w:i/>
                <w:sz w:val="20"/>
                <w:szCs w:val="20"/>
              </w:rPr>
            </w:pPr>
            <w:r w:rsidRPr="00E064EE">
              <w:rPr>
                <w:rFonts w:cstheme="minorHAnsi"/>
                <w:i/>
                <w:sz w:val="20"/>
                <w:szCs w:val="20"/>
              </w:rPr>
              <w:t>Liczba opracowanych ekspertyz, ocen, analiz, koncepcji, studiów</w:t>
            </w:r>
          </w:p>
        </w:tc>
        <w:tc>
          <w:tcPr>
            <w:tcW w:w="1276" w:type="dxa"/>
            <w:tcBorders>
              <w:top w:val="single" w:sz="8" w:space="0" w:color="33CC33"/>
              <w:bottom w:val="single" w:sz="8" w:space="0" w:color="33CC33"/>
            </w:tcBorders>
            <w:vAlign w:val="center"/>
          </w:tcPr>
          <w:p w14:paraId="42C2BAF6" w14:textId="24DD4D3B" w:rsidR="00D67D46" w:rsidRPr="002B30FD" w:rsidRDefault="00D67D46" w:rsidP="00D67D46">
            <w:pPr>
              <w:spacing w:before="60" w:after="60"/>
              <w:jc w:val="center"/>
              <w:rPr>
                <w:rFonts w:cstheme="minorHAnsi"/>
                <w:sz w:val="20"/>
                <w:szCs w:val="20"/>
              </w:rPr>
            </w:pPr>
            <w:r w:rsidRPr="002B30FD">
              <w:rPr>
                <w:rFonts w:cstheme="minorHAnsi"/>
                <w:sz w:val="20"/>
                <w:szCs w:val="20"/>
              </w:rPr>
              <w:t>szt.</w:t>
            </w:r>
          </w:p>
        </w:tc>
        <w:tc>
          <w:tcPr>
            <w:tcW w:w="1276" w:type="dxa"/>
            <w:tcBorders>
              <w:top w:val="single" w:sz="8" w:space="0" w:color="33CC33"/>
              <w:bottom w:val="single" w:sz="8" w:space="0" w:color="33CC33"/>
            </w:tcBorders>
            <w:vAlign w:val="center"/>
          </w:tcPr>
          <w:p w14:paraId="438B460F" w14:textId="58E88D80" w:rsidR="00D67D46" w:rsidRPr="002B30FD" w:rsidRDefault="00D67D46" w:rsidP="00D67D46">
            <w:pPr>
              <w:spacing w:before="80" w:after="80"/>
              <w:jc w:val="center"/>
              <w:rPr>
                <w:rFonts w:cstheme="minorHAnsi"/>
                <w:sz w:val="20"/>
                <w:szCs w:val="20"/>
              </w:rPr>
            </w:pPr>
            <w:r w:rsidRPr="002B30FD">
              <w:rPr>
                <w:rFonts w:cstheme="minorHAnsi"/>
                <w:sz w:val="20"/>
                <w:szCs w:val="20"/>
              </w:rPr>
              <w:t>produkt</w:t>
            </w:r>
          </w:p>
        </w:tc>
        <w:tc>
          <w:tcPr>
            <w:tcW w:w="1417" w:type="dxa"/>
            <w:tcBorders>
              <w:top w:val="single" w:sz="8" w:space="0" w:color="33CC33"/>
              <w:bottom w:val="single" w:sz="8" w:space="0" w:color="33CC33"/>
            </w:tcBorders>
            <w:vAlign w:val="center"/>
          </w:tcPr>
          <w:p w14:paraId="510B8D5B" w14:textId="0BAF9D13"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433AC914" w14:textId="2D360020"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4140E91F" w14:textId="0FD5DF57" w:rsidR="00D67D46" w:rsidRPr="002B30FD" w:rsidRDefault="00D67D46" w:rsidP="00D67D46">
            <w:pPr>
              <w:autoSpaceDE w:val="0"/>
              <w:autoSpaceDN w:val="0"/>
              <w:adjustRightInd w:val="0"/>
              <w:spacing w:before="80" w:after="40"/>
              <w:jc w:val="both"/>
              <w:rPr>
                <w:rFonts w:cstheme="minorHAnsi"/>
                <w:sz w:val="20"/>
                <w:szCs w:val="20"/>
              </w:rPr>
            </w:pPr>
            <w:r w:rsidRPr="00E064EE">
              <w:rPr>
                <w:rFonts w:cstheme="minorHAnsi"/>
                <w:sz w:val="20"/>
                <w:szCs w:val="20"/>
              </w:rPr>
              <w:t>Liczba dokumentów, ekspertyz, ocen, analiz, koncepcji, studiów strategicznych/planistycznych w zakresie gospodarowania wodami, ochrony zasobów wodnych, prognozowania i ostrzegania środowiskowego oraz systemów ratownictwa, które zostały opracowane lub zaktualizowane w ramach dofinansowanego projektu.</w:t>
            </w:r>
          </w:p>
        </w:tc>
      </w:tr>
      <w:tr w:rsidR="00D67D46" w:rsidRPr="000F4CA9" w14:paraId="43B3A509" w14:textId="77777777" w:rsidTr="003C43FE">
        <w:trPr>
          <w:trHeight w:val="63"/>
        </w:trPr>
        <w:tc>
          <w:tcPr>
            <w:tcW w:w="552" w:type="dxa"/>
            <w:tcBorders>
              <w:top w:val="single" w:sz="8" w:space="0" w:color="33CC33"/>
              <w:bottom w:val="single" w:sz="8" w:space="0" w:color="33CC33"/>
            </w:tcBorders>
            <w:vAlign w:val="center"/>
          </w:tcPr>
          <w:p w14:paraId="15C38518" w14:textId="3E63BAD5" w:rsidR="00D67D46" w:rsidRPr="002B30FD" w:rsidRDefault="00D67D46" w:rsidP="00D67D46">
            <w:pPr>
              <w:spacing w:before="60" w:after="60"/>
              <w:rPr>
                <w:rFonts w:cstheme="minorHAnsi"/>
                <w:sz w:val="20"/>
                <w:szCs w:val="20"/>
              </w:rPr>
            </w:pPr>
            <w:r>
              <w:rPr>
                <w:rFonts w:cstheme="minorHAnsi"/>
                <w:sz w:val="20"/>
                <w:szCs w:val="20"/>
              </w:rPr>
              <w:t>8.</w:t>
            </w:r>
          </w:p>
        </w:tc>
        <w:tc>
          <w:tcPr>
            <w:tcW w:w="2977" w:type="dxa"/>
            <w:tcBorders>
              <w:top w:val="single" w:sz="8" w:space="0" w:color="33CC33"/>
              <w:bottom w:val="single" w:sz="8" w:space="0" w:color="33CC33"/>
            </w:tcBorders>
            <w:vAlign w:val="center"/>
          </w:tcPr>
          <w:p w14:paraId="08D5AE22" w14:textId="38310D15" w:rsidR="00D67D46" w:rsidRPr="00E064EE" w:rsidRDefault="00D67D46" w:rsidP="00D67D46">
            <w:pPr>
              <w:autoSpaceDE w:val="0"/>
              <w:autoSpaceDN w:val="0"/>
              <w:adjustRightInd w:val="0"/>
              <w:rPr>
                <w:rFonts w:cstheme="minorHAnsi"/>
                <w:i/>
                <w:sz w:val="20"/>
                <w:szCs w:val="20"/>
              </w:rPr>
            </w:pPr>
            <w:r w:rsidRPr="00912DAF">
              <w:rPr>
                <w:rFonts w:cstheme="minorHAnsi"/>
                <w:i/>
                <w:sz w:val="20"/>
                <w:szCs w:val="20"/>
              </w:rPr>
              <w:t>Zielona infrastruktura wybudowana lub zmodernizowana w celu przystosowania się̨ do zmian klimatu</w:t>
            </w:r>
          </w:p>
        </w:tc>
        <w:tc>
          <w:tcPr>
            <w:tcW w:w="1276" w:type="dxa"/>
            <w:tcBorders>
              <w:top w:val="single" w:sz="8" w:space="0" w:color="33CC33"/>
              <w:bottom w:val="single" w:sz="8" w:space="0" w:color="33CC33"/>
            </w:tcBorders>
            <w:vAlign w:val="center"/>
          </w:tcPr>
          <w:p w14:paraId="0885FB9D" w14:textId="6E7075CE" w:rsidR="00D67D46" w:rsidRPr="002B30FD" w:rsidRDefault="00D67D46" w:rsidP="00D67D46">
            <w:pPr>
              <w:spacing w:before="60" w:after="60"/>
              <w:jc w:val="center"/>
              <w:rPr>
                <w:rFonts w:cstheme="minorHAnsi"/>
                <w:sz w:val="20"/>
                <w:szCs w:val="20"/>
              </w:rPr>
            </w:pPr>
            <w:r>
              <w:rPr>
                <w:rFonts w:cstheme="minorHAnsi"/>
                <w:sz w:val="20"/>
                <w:szCs w:val="20"/>
              </w:rPr>
              <w:t>ha</w:t>
            </w:r>
          </w:p>
        </w:tc>
        <w:tc>
          <w:tcPr>
            <w:tcW w:w="1276" w:type="dxa"/>
            <w:tcBorders>
              <w:top w:val="single" w:sz="8" w:space="0" w:color="33CC33"/>
              <w:bottom w:val="single" w:sz="8" w:space="0" w:color="33CC33"/>
            </w:tcBorders>
            <w:vAlign w:val="center"/>
          </w:tcPr>
          <w:p w14:paraId="17125E6D" w14:textId="7AB628BA" w:rsidR="00D67D46" w:rsidRPr="002B30FD" w:rsidRDefault="00D67D46" w:rsidP="00D67D46">
            <w:pPr>
              <w:spacing w:before="80" w:after="80"/>
              <w:jc w:val="center"/>
              <w:rPr>
                <w:rFonts w:cstheme="minorHAnsi"/>
                <w:sz w:val="20"/>
                <w:szCs w:val="20"/>
              </w:rPr>
            </w:pPr>
            <w:r w:rsidRPr="002B30FD">
              <w:rPr>
                <w:rFonts w:cstheme="minorHAnsi"/>
                <w:sz w:val="20"/>
                <w:szCs w:val="20"/>
              </w:rPr>
              <w:t>produkt</w:t>
            </w:r>
          </w:p>
        </w:tc>
        <w:tc>
          <w:tcPr>
            <w:tcW w:w="1417" w:type="dxa"/>
            <w:tcBorders>
              <w:top w:val="single" w:sz="8" w:space="0" w:color="33CC33"/>
              <w:bottom w:val="single" w:sz="8" w:space="0" w:color="33CC33"/>
            </w:tcBorders>
            <w:vAlign w:val="center"/>
          </w:tcPr>
          <w:p w14:paraId="36BD2B67" w14:textId="77777777"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1236E3EA" w14:textId="77777777"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5ED24526" w14:textId="09C512B0" w:rsidR="00D67D46" w:rsidRPr="00E064EE" w:rsidRDefault="00D67D46" w:rsidP="00D67D46">
            <w:pPr>
              <w:autoSpaceDE w:val="0"/>
              <w:autoSpaceDN w:val="0"/>
              <w:adjustRightInd w:val="0"/>
              <w:spacing w:before="80" w:after="40"/>
              <w:jc w:val="both"/>
              <w:rPr>
                <w:rFonts w:cstheme="minorHAnsi"/>
                <w:sz w:val="20"/>
                <w:szCs w:val="20"/>
              </w:rPr>
            </w:pPr>
            <w:r w:rsidRPr="00912DAF">
              <w:rPr>
                <w:rFonts w:cstheme="minorHAnsi"/>
                <w:sz w:val="20"/>
                <w:szCs w:val="20"/>
              </w:rPr>
              <w:t>Powierzchnia zielonej infrastruktury nowo wybudowanej lub znacznie zmodernizowanej w celu poprawy przystosowania się do zmian klimatu, na przykład poprzez wzmocnienie ochrony przed powodziami i zapobieganie erozji gleby. Zielona infrastruktura zazwyczaj odnosi się do drzew, trawników, żywopłotów, parków, pól, lasów itp. Wskaźnik obejmuje również niebieską infrastrukturę taką jak elementy wodne, takie jak rzeki, kanały, stawy, tereny podmokłe, tereny zalewowe, urządzenia do uzdatniania wody itp. (zob. Naumann et al. (2011) w odniesieniach)</w:t>
            </w:r>
          </w:p>
        </w:tc>
      </w:tr>
      <w:tr w:rsidR="00D67D46" w:rsidRPr="000F4CA9" w14:paraId="305B5985" w14:textId="77777777" w:rsidTr="003C43FE">
        <w:trPr>
          <w:trHeight w:val="63"/>
        </w:trPr>
        <w:tc>
          <w:tcPr>
            <w:tcW w:w="552" w:type="dxa"/>
            <w:tcBorders>
              <w:top w:val="single" w:sz="8" w:space="0" w:color="33CC33"/>
              <w:bottom w:val="single" w:sz="8" w:space="0" w:color="33CC33"/>
            </w:tcBorders>
            <w:vAlign w:val="center"/>
          </w:tcPr>
          <w:p w14:paraId="47A089BE" w14:textId="037DFCFB" w:rsidR="00D67D46" w:rsidRPr="002B30FD" w:rsidRDefault="00D67D46" w:rsidP="00D67D46">
            <w:pPr>
              <w:spacing w:before="60" w:after="60"/>
              <w:rPr>
                <w:rFonts w:cstheme="minorHAnsi"/>
                <w:sz w:val="20"/>
                <w:szCs w:val="20"/>
              </w:rPr>
            </w:pPr>
            <w:r>
              <w:rPr>
                <w:rFonts w:cstheme="minorHAnsi"/>
                <w:sz w:val="20"/>
                <w:szCs w:val="20"/>
              </w:rPr>
              <w:t>9.</w:t>
            </w:r>
          </w:p>
        </w:tc>
        <w:tc>
          <w:tcPr>
            <w:tcW w:w="2977" w:type="dxa"/>
            <w:tcBorders>
              <w:top w:val="single" w:sz="8" w:space="0" w:color="33CC33"/>
              <w:bottom w:val="single" w:sz="8" w:space="0" w:color="33CC33"/>
            </w:tcBorders>
            <w:vAlign w:val="center"/>
          </w:tcPr>
          <w:p w14:paraId="74D11889" w14:textId="581E22AE" w:rsidR="00D67D46" w:rsidRPr="00912DAF" w:rsidRDefault="00D67D46" w:rsidP="00D67D46">
            <w:pPr>
              <w:autoSpaceDE w:val="0"/>
              <w:autoSpaceDN w:val="0"/>
              <w:adjustRightInd w:val="0"/>
              <w:rPr>
                <w:rFonts w:cstheme="minorHAnsi"/>
                <w:i/>
                <w:sz w:val="20"/>
                <w:szCs w:val="20"/>
              </w:rPr>
            </w:pPr>
            <w:r w:rsidRPr="00912DAF">
              <w:rPr>
                <w:rFonts w:cstheme="minorHAnsi"/>
                <w:i/>
                <w:sz w:val="20"/>
                <w:szCs w:val="20"/>
              </w:rPr>
              <w:t>Powierzchnia objęta środkami ochrony przed klęskami żywiołowymi związanymi z klimatem (oprócz powodzi i niekontrolowanych pożarów)</w:t>
            </w:r>
          </w:p>
        </w:tc>
        <w:tc>
          <w:tcPr>
            <w:tcW w:w="1276" w:type="dxa"/>
            <w:tcBorders>
              <w:top w:val="single" w:sz="8" w:space="0" w:color="33CC33"/>
              <w:bottom w:val="single" w:sz="8" w:space="0" w:color="33CC33"/>
            </w:tcBorders>
            <w:vAlign w:val="center"/>
          </w:tcPr>
          <w:p w14:paraId="14A729CC" w14:textId="07557DB5" w:rsidR="00D67D46" w:rsidRDefault="00D67D46" w:rsidP="00D67D46">
            <w:pPr>
              <w:spacing w:before="60" w:after="60"/>
              <w:jc w:val="center"/>
              <w:rPr>
                <w:rFonts w:cstheme="minorHAnsi"/>
                <w:sz w:val="20"/>
                <w:szCs w:val="20"/>
              </w:rPr>
            </w:pPr>
            <w:r>
              <w:rPr>
                <w:rFonts w:cstheme="minorHAnsi"/>
                <w:sz w:val="20"/>
                <w:szCs w:val="20"/>
              </w:rPr>
              <w:t>ha</w:t>
            </w:r>
          </w:p>
        </w:tc>
        <w:tc>
          <w:tcPr>
            <w:tcW w:w="1276" w:type="dxa"/>
            <w:tcBorders>
              <w:top w:val="single" w:sz="8" w:space="0" w:color="33CC33"/>
              <w:bottom w:val="single" w:sz="8" w:space="0" w:color="33CC33"/>
            </w:tcBorders>
            <w:vAlign w:val="center"/>
          </w:tcPr>
          <w:p w14:paraId="6BFB2B7B" w14:textId="7D9B5B5C" w:rsidR="00D67D46" w:rsidRPr="002B30FD" w:rsidRDefault="00D67D46" w:rsidP="00D67D46">
            <w:pPr>
              <w:spacing w:before="80" w:after="80"/>
              <w:jc w:val="center"/>
              <w:rPr>
                <w:rFonts w:cstheme="minorHAnsi"/>
                <w:sz w:val="20"/>
                <w:szCs w:val="20"/>
              </w:rPr>
            </w:pPr>
            <w:r>
              <w:rPr>
                <w:rFonts w:cstheme="minorHAnsi"/>
                <w:sz w:val="20"/>
                <w:szCs w:val="20"/>
              </w:rPr>
              <w:t>produkt</w:t>
            </w:r>
          </w:p>
        </w:tc>
        <w:tc>
          <w:tcPr>
            <w:tcW w:w="1417" w:type="dxa"/>
            <w:tcBorders>
              <w:top w:val="single" w:sz="8" w:space="0" w:color="33CC33"/>
              <w:bottom w:val="single" w:sz="8" w:space="0" w:color="33CC33"/>
            </w:tcBorders>
            <w:vAlign w:val="center"/>
          </w:tcPr>
          <w:p w14:paraId="1DC00C9D" w14:textId="77777777"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6BB0B17C" w14:textId="77777777"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7495C2B4" w14:textId="5091AAAB" w:rsidR="00D67D46" w:rsidRPr="00912DAF" w:rsidRDefault="00D67D46" w:rsidP="00D67D46">
            <w:pPr>
              <w:autoSpaceDE w:val="0"/>
              <w:autoSpaceDN w:val="0"/>
              <w:adjustRightInd w:val="0"/>
              <w:spacing w:before="80" w:after="40"/>
              <w:jc w:val="both"/>
              <w:rPr>
                <w:rFonts w:cstheme="minorHAnsi"/>
                <w:sz w:val="20"/>
                <w:szCs w:val="20"/>
              </w:rPr>
            </w:pPr>
            <w:r w:rsidRPr="00912DAF">
              <w:rPr>
                <w:rFonts w:cstheme="minorHAnsi"/>
                <w:sz w:val="20"/>
                <w:szCs w:val="20"/>
              </w:rPr>
              <w:t xml:space="preserve">Powierzchnia objęta środkami ochrony przed </w:t>
            </w:r>
            <w:proofErr w:type="spellStart"/>
            <w:r w:rsidRPr="00912DAF">
              <w:rPr>
                <w:rFonts w:cstheme="minorHAnsi"/>
                <w:sz w:val="20"/>
                <w:szCs w:val="20"/>
              </w:rPr>
              <w:t>ryzykami</w:t>
            </w:r>
            <w:proofErr w:type="spellEnd"/>
            <w:r w:rsidRPr="00912DAF">
              <w:rPr>
                <w:rFonts w:cstheme="minorHAnsi"/>
                <w:sz w:val="20"/>
                <w:szCs w:val="20"/>
              </w:rPr>
              <w:t xml:space="preserve"> związanymi z klimatem (innymi niż powodzie i niekontrolowane pożary) opracowanymi lub znacznie zmodernizowanymi w ramach projektów objętych wsparciem (tj. środkami związanymi z zapobieganiem suszy lub ochroną przed skutkami nadmiernych upałów). Znaczna modernizacja odnosi się na przykład do nowych funkcji ochrony lub rozwinięcia istniejących środków ochrony na większą skalę.</w:t>
            </w:r>
          </w:p>
        </w:tc>
      </w:tr>
      <w:tr w:rsidR="00D67D46" w:rsidRPr="000F4CA9" w14:paraId="18CF5ACE" w14:textId="77777777" w:rsidTr="003C43FE">
        <w:trPr>
          <w:trHeight w:val="63"/>
        </w:trPr>
        <w:tc>
          <w:tcPr>
            <w:tcW w:w="552" w:type="dxa"/>
            <w:tcBorders>
              <w:top w:val="single" w:sz="8" w:space="0" w:color="33CC33"/>
              <w:bottom w:val="single" w:sz="8" w:space="0" w:color="33CC33"/>
            </w:tcBorders>
            <w:vAlign w:val="center"/>
          </w:tcPr>
          <w:p w14:paraId="461E8103" w14:textId="3932E037" w:rsidR="00D67D46" w:rsidRPr="002B30FD" w:rsidRDefault="00D67D46" w:rsidP="00D67D46">
            <w:pPr>
              <w:spacing w:before="60" w:after="60"/>
              <w:rPr>
                <w:rFonts w:cstheme="minorHAnsi"/>
                <w:sz w:val="20"/>
                <w:szCs w:val="20"/>
              </w:rPr>
            </w:pPr>
            <w:r>
              <w:rPr>
                <w:rFonts w:cstheme="minorHAnsi"/>
                <w:sz w:val="20"/>
                <w:szCs w:val="20"/>
              </w:rPr>
              <w:lastRenderedPageBreak/>
              <w:t>10.</w:t>
            </w:r>
          </w:p>
        </w:tc>
        <w:tc>
          <w:tcPr>
            <w:tcW w:w="2977" w:type="dxa"/>
            <w:tcBorders>
              <w:top w:val="single" w:sz="8" w:space="0" w:color="33CC33"/>
              <w:bottom w:val="single" w:sz="8" w:space="0" w:color="33CC33"/>
            </w:tcBorders>
            <w:vAlign w:val="center"/>
          </w:tcPr>
          <w:p w14:paraId="1B4817A6" w14:textId="0EC7FB1D" w:rsidR="00D67D46" w:rsidRPr="00912DAF" w:rsidRDefault="00D67D46" w:rsidP="00D67D46">
            <w:pPr>
              <w:autoSpaceDE w:val="0"/>
              <w:autoSpaceDN w:val="0"/>
              <w:adjustRightInd w:val="0"/>
              <w:rPr>
                <w:rFonts w:cstheme="minorHAnsi"/>
                <w:i/>
                <w:sz w:val="20"/>
                <w:szCs w:val="20"/>
              </w:rPr>
            </w:pPr>
            <w:r w:rsidRPr="00912DAF">
              <w:rPr>
                <w:rFonts w:cstheme="minorHAnsi"/>
                <w:i/>
                <w:sz w:val="20"/>
                <w:szCs w:val="20"/>
              </w:rPr>
              <w:t>Liczba wybudowanych, przebudowanych i wyremontowanych urządzeń wodnych (w tym obiektów kompleksowych)</w:t>
            </w:r>
          </w:p>
        </w:tc>
        <w:tc>
          <w:tcPr>
            <w:tcW w:w="1276" w:type="dxa"/>
            <w:tcBorders>
              <w:top w:val="single" w:sz="8" w:space="0" w:color="33CC33"/>
              <w:bottom w:val="single" w:sz="8" w:space="0" w:color="33CC33"/>
            </w:tcBorders>
            <w:vAlign w:val="center"/>
          </w:tcPr>
          <w:p w14:paraId="37C000B0" w14:textId="197A8072" w:rsidR="00D67D46" w:rsidRDefault="00D67D46" w:rsidP="00D67D46">
            <w:pPr>
              <w:spacing w:before="60" w:after="60"/>
              <w:jc w:val="center"/>
              <w:rPr>
                <w:rFonts w:cstheme="minorHAnsi"/>
                <w:sz w:val="20"/>
                <w:szCs w:val="20"/>
              </w:rPr>
            </w:pPr>
            <w:r>
              <w:rPr>
                <w:rFonts w:cstheme="minorHAnsi"/>
                <w:sz w:val="20"/>
                <w:szCs w:val="20"/>
              </w:rPr>
              <w:t>szt.</w:t>
            </w:r>
          </w:p>
        </w:tc>
        <w:tc>
          <w:tcPr>
            <w:tcW w:w="1276" w:type="dxa"/>
            <w:tcBorders>
              <w:top w:val="single" w:sz="8" w:space="0" w:color="33CC33"/>
              <w:bottom w:val="single" w:sz="8" w:space="0" w:color="33CC33"/>
            </w:tcBorders>
            <w:vAlign w:val="center"/>
          </w:tcPr>
          <w:p w14:paraId="5BE7416B" w14:textId="718009BA" w:rsidR="00D67D46" w:rsidRDefault="00D67D46" w:rsidP="00D67D46">
            <w:pPr>
              <w:spacing w:before="80" w:after="80"/>
              <w:jc w:val="center"/>
              <w:rPr>
                <w:rFonts w:cstheme="minorHAnsi"/>
                <w:sz w:val="20"/>
                <w:szCs w:val="20"/>
              </w:rPr>
            </w:pPr>
            <w:r>
              <w:rPr>
                <w:rFonts w:cstheme="minorHAnsi"/>
                <w:sz w:val="20"/>
                <w:szCs w:val="20"/>
              </w:rPr>
              <w:t>produkt</w:t>
            </w:r>
          </w:p>
        </w:tc>
        <w:tc>
          <w:tcPr>
            <w:tcW w:w="1417" w:type="dxa"/>
            <w:tcBorders>
              <w:top w:val="single" w:sz="8" w:space="0" w:color="33CC33"/>
              <w:bottom w:val="single" w:sz="8" w:space="0" w:color="33CC33"/>
            </w:tcBorders>
            <w:vAlign w:val="center"/>
          </w:tcPr>
          <w:p w14:paraId="51C58BC6" w14:textId="77777777"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229005F8" w14:textId="77777777"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0A41C92C" w14:textId="60289FDB" w:rsidR="00D67D46" w:rsidRPr="00912DAF" w:rsidRDefault="00D67D46" w:rsidP="00D67D46">
            <w:pPr>
              <w:autoSpaceDE w:val="0"/>
              <w:autoSpaceDN w:val="0"/>
              <w:adjustRightInd w:val="0"/>
              <w:spacing w:before="80" w:after="40"/>
              <w:jc w:val="both"/>
              <w:rPr>
                <w:rFonts w:cstheme="minorHAnsi"/>
                <w:sz w:val="20"/>
                <w:szCs w:val="20"/>
              </w:rPr>
            </w:pPr>
            <w:r w:rsidRPr="00912DAF">
              <w:rPr>
                <w:rFonts w:cstheme="minorHAnsi"/>
                <w:sz w:val="20"/>
                <w:szCs w:val="20"/>
              </w:rPr>
              <w:t>Liczba urządzeń i infrastruktury towarzyszącej, służących  zmniejszeniu skutków powodzi lub suszy, które zostały wybudowane, przebudowane i wyremontowane w ramach dofinansowanego projektu.</w:t>
            </w:r>
          </w:p>
        </w:tc>
      </w:tr>
      <w:tr w:rsidR="00D67D46" w:rsidRPr="000F4CA9" w14:paraId="068E511A" w14:textId="77777777" w:rsidTr="003C43FE">
        <w:trPr>
          <w:trHeight w:val="63"/>
        </w:trPr>
        <w:tc>
          <w:tcPr>
            <w:tcW w:w="552" w:type="dxa"/>
            <w:tcBorders>
              <w:top w:val="single" w:sz="8" w:space="0" w:color="33CC33"/>
              <w:bottom w:val="single" w:sz="8" w:space="0" w:color="33CC33"/>
            </w:tcBorders>
            <w:vAlign w:val="center"/>
          </w:tcPr>
          <w:p w14:paraId="627F7C43" w14:textId="2B0EBACF" w:rsidR="00D67D46" w:rsidRPr="002B30FD" w:rsidRDefault="00D67D46" w:rsidP="00D67D46">
            <w:pPr>
              <w:spacing w:before="60" w:after="60"/>
              <w:rPr>
                <w:rFonts w:cstheme="minorHAnsi"/>
                <w:sz w:val="20"/>
                <w:szCs w:val="20"/>
              </w:rPr>
            </w:pPr>
            <w:r w:rsidRPr="002B30FD">
              <w:rPr>
                <w:rFonts w:cstheme="minorHAnsi"/>
                <w:sz w:val="20"/>
                <w:szCs w:val="20"/>
              </w:rPr>
              <w:t>1</w:t>
            </w:r>
            <w:r>
              <w:rPr>
                <w:rFonts w:cstheme="minorHAnsi"/>
                <w:sz w:val="20"/>
                <w:szCs w:val="20"/>
              </w:rPr>
              <w:t>1</w:t>
            </w:r>
            <w:r w:rsidRPr="002B30FD">
              <w:rPr>
                <w:rFonts w:cstheme="minorHAnsi"/>
                <w:sz w:val="20"/>
                <w:szCs w:val="20"/>
              </w:rPr>
              <w:t>.</w:t>
            </w:r>
          </w:p>
        </w:tc>
        <w:tc>
          <w:tcPr>
            <w:tcW w:w="2977" w:type="dxa"/>
            <w:tcBorders>
              <w:top w:val="single" w:sz="8" w:space="0" w:color="33CC33"/>
              <w:bottom w:val="single" w:sz="8" w:space="0" w:color="33CC33"/>
            </w:tcBorders>
            <w:vAlign w:val="center"/>
          </w:tcPr>
          <w:p w14:paraId="4FCF0994" w14:textId="7AFB0389" w:rsidR="00D67D46" w:rsidRPr="007770FB" w:rsidRDefault="00D67D46" w:rsidP="00D67D46">
            <w:pPr>
              <w:autoSpaceDE w:val="0"/>
              <w:autoSpaceDN w:val="0"/>
              <w:adjustRightInd w:val="0"/>
              <w:rPr>
                <w:rFonts w:cstheme="minorHAnsi"/>
                <w:i/>
                <w:iCs/>
                <w:sz w:val="20"/>
                <w:szCs w:val="20"/>
              </w:rPr>
            </w:pPr>
            <w:r w:rsidRPr="007770FB">
              <w:rPr>
                <w:i/>
                <w:iCs/>
                <w:sz w:val="20"/>
                <w:szCs w:val="20"/>
              </w:rPr>
              <w:t>Ludność odnosząca korzyści ze środków ochrony przed klęskami żywiołowymi związanymi z klimatem (oprócz powodzi lub niekontrolowanych pożarów)</w:t>
            </w:r>
          </w:p>
        </w:tc>
        <w:tc>
          <w:tcPr>
            <w:tcW w:w="1276" w:type="dxa"/>
            <w:tcBorders>
              <w:top w:val="single" w:sz="8" w:space="0" w:color="33CC33"/>
              <w:bottom w:val="single" w:sz="8" w:space="0" w:color="33CC33"/>
            </w:tcBorders>
            <w:vAlign w:val="center"/>
          </w:tcPr>
          <w:p w14:paraId="54AF5A8A" w14:textId="09BC99F1" w:rsidR="00D67D46" w:rsidRPr="002B30FD" w:rsidRDefault="00D67D46" w:rsidP="00D67D46">
            <w:pPr>
              <w:spacing w:before="60" w:after="60"/>
              <w:jc w:val="center"/>
              <w:rPr>
                <w:rFonts w:cstheme="minorHAnsi"/>
                <w:sz w:val="20"/>
                <w:szCs w:val="20"/>
              </w:rPr>
            </w:pPr>
            <w:r>
              <w:rPr>
                <w:rFonts w:cstheme="minorHAnsi"/>
                <w:sz w:val="20"/>
                <w:szCs w:val="20"/>
              </w:rPr>
              <w:t>os.</w:t>
            </w:r>
          </w:p>
        </w:tc>
        <w:tc>
          <w:tcPr>
            <w:tcW w:w="1276" w:type="dxa"/>
            <w:tcBorders>
              <w:top w:val="single" w:sz="8" w:space="0" w:color="33CC33"/>
              <w:bottom w:val="single" w:sz="8" w:space="0" w:color="33CC33"/>
            </w:tcBorders>
            <w:vAlign w:val="center"/>
          </w:tcPr>
          <w:p w14:paraId="66314FEC" w14:textId="72F0248B" w:rsidR="00D67D46" w:rsidRPr="002B30FD" w:rsidRDefault="00D67D46" w:rsidP="00D67D46">
            <w:pPr>
              <w:spacing w:before="80" w:after="80"/>
              <w:jc w:val="center"/>
              <w:rPr>
                <w:rFonts w:cstheme="minorHAnsi"/>
                <w:sz w:val="20"/>
                <w:szCs w:val="20"/>
              </w:rPr>
            </w:pPr>
            <w:r w:rsidRPr="002B30FD">
              <w:rPr>
                <w:rFonts w:cstheme="minorHAnsi"/>
                <w:sz w:val="20"/>
                <w:szCs w:val="20"/>
              </w:rPr>
              <w:t>rezultat</w:t>
            </w:r>
          </w:p>
        </w:tc>
        <w:tc>
          <w:tcPr>
            <w:tcW w:w="1417" w:type="dxa"/>
            <w:tcBorders>
              <w:top w:val="single" w:sz="8" w:space="0" w:color="33CC33"/>
              <w:bottom w:val="single" w:sz="8" w:space="0" w:color="33CC33"/>
            </w:tcBorders>
            <w:vAlign w:val="center"/>
          </w:tcPr>
          <w:p w14:paraId="0CD4113D" w14:textId="544F23C8" w:rsidR="00D67D46" w:rsidRPr="002B30FD" w:rsidRDefault="00D67D46" w:rsidP="00D67D46">
            <w:pPr>
              <w:spacing w:before="80" w:after="80"/>
              <w:jc w:val="center"/>
              <w:rPr>
                <w:rFonts w:cstheme="minorHAnsi"/>
                <w:sz w:val="20"/>
                <w:szCs w:val="20"/>
              </w:rPr>
            </w:pPr>
            <w:r>
              <w:rPr>
                <w:rFonts w:cstheme="minorHAnsi"/>
                <w:sz w:val="20"/>
                <w:szCs w:val="20"/>
              </w:rPr>
              <w:t>programowy</w:t>
            </w:r>
          </w:p>
        </w:tc>
        <w:tc>
          <w:tcPr>
            <w:tcW w:w="992" w:type="dxa"/>
            <w:tcBorders>
              <w:top w:val="single" w:sz="8" w:space="0" w:color="33CC33"/>
              <w:bottom w:val="single" w:sz="8" w:space="0" w:color="33CC33"/>
            </w:tcBorders>
            <w:vAlign w:val="center"/>
          </w:tcPr>
          <w:p w14:paraId="3EA61858" w14:textId="5DD0F1D0" w:rsidR="00D67D46" w:rsidRPr="002B30FD" w:rsidRDefault="00D67D46" w:rsidP="00D67D46">
            <w:pPr>
              <w:spacing w:before="80" w:after="80"/>
              <w:jc w:val="center"/>
              <w:rPr>
                <w:rFonts w:cstheme="minorHAnsi"/>
                <w:sz w:val="20"/>
                <w:szCs w:val="20"/>
              </w:rPr>
            </w:pPr>
            <w:r w:rsidRPr="002B30FD">
              <w:rPr>
                <w:rFonts w:cstheme="minorHAnsi"/>
                <w:sz w:val="20"/>
                <w:szCs w:val="20"/>
              </w:rPr>
              <w:t>-</w:t>
            </w:r>
          </w:p>
        </w:tc>
        <w:tc>
          <w:tcPr>
            <w:tcW w:w="6096" w:type="dxa"/>
            <w:tcBorders>
              <w:top w:val="single" w:sz="8" w:space="0" w:color="33CC33"/>
              <w:bottom w:val="single" w:sz="8" w:space="0" w:color="33CC33"/>
            </w:tcBorders>
            <w:vAlign w:val="center"/>
          </w:tcPr>
          <w:p w14:paraId="0500B0E1" w14:textId="65287981" w:rsidR="00D67D46" w:rsidRPr="002B30FD" w:rsidRDefault="00D67D46" w:rsidP="00D67D46">
            <w:pPr>
              <w:autoSpaceDE w:val="0"/>
              <w:autoSpaceDN w:val="0"/>
              <w:adjustRightInd w:val="0"/>
              <w:spacing w:before="80" w:after="40"/>
              <w:jc w:val="both"/>
              <w:rPr>
                <w:rFonts w:cstheme="minorHAnsi"/>
                <w:sz w:val="20"/>
                <w:szCs w:val="20"/>
              </w:rPr>
            </w:pPr>
            <w:r w:rsidRPr="007770FB">
              <w:rPr>
                <w:rFonts w:cstheme="minorHAnsi"/>
                <w:sz w:val="20"/>
                <w:szCs w:val="20"/>
              </w:rPr>
              <w:t>Ludność zamieszkująca na obszarach narażonych na klęski żywiołowe związane z klimatem, inne niż powodzie i niekontrolowane pożary (burze, susze, fale upałów), gdzie podatność na takie zagrożenia zmniejsza się w wyniku projektów objętych wsparciem. Wskaźnik obejmuje środki ochrony, zagrożone obszary i środki, które bezpośrednio dotyczą konkretnych zagrożeń, w przeciwieństwie do bardziej ogólnych środków wdrażanych na poziomie krajowym lub regionalnym.</w:t>
            </w:r>
          </w:p>
        </w:tc>
      </w:tr>
      <w:tr w:rsidR="00D67D46" w:rsidRPr="000F4CA9" w14:paraId="64786A51" w14:textId="77777777" w:rsidTr="003C43FE">
        <w:trPr>
          <w:trHeight w:val="63"/>
        </w:trPr>
        <w:tc>
          <w:tcPr>
            <w:tcW w:w="552" w:type="dxa"/>
            <w:tcBorders>
              <w:top w:val="single" w:sz="8" w:space="0" w:color="33CC33"/>
              <w:bottom w:val="single" w:sz="8" w:space="0" w:color="33CC33"/>
            </w:tcBorders>
            <w:vAlign w:val="center"/>
          </w:tcPr>
          <w:p w14:paraId="1EF0C533" w14:textId="6FC3EC45" w:rsidR="00D67D46" w:rsidRPr="00EA42DB" w:rsidRDefault="00D67D46" w:rsidP="00D67D46">
            <w:pPr>
              <w:spacing w:before="60" w:after="60"/>
              <w:rPr>
                <w:rFonts w:cstheme="minorHAnsi"/>
                <w:sz w:val="20"/>
                <w:szCs w:val="20"/>
              </w:rPr>
            </w:pPr>
            <w:r w:rsidRPr="00EA42DB">
              <w:rPr>
                <w:rFonts w:cstheme="minorHAnsi"/>
                <w:sz w:val="20"/>
                <w:szCs w:val="20"/>
              </w:rPr>
              <w:t>1</w:t>
            </w:r>
            <w:r>
              <w:rPr>
                <w:rFonts w:cstheme="minorHAnsi"/>
                <w:sz w:val="20"/>
                <w:szCs w:val="20"/>
              </w:rPr>
              <w:t>2</w:t>
            </w:r>
            <w:r w:rsidRPr="00EA42DB">
              <w:rPr>
                <w:rFonts w:cstheme="minorHAnsi"/>
                <w:sz w:val="20"/>
                <w:szCs w:val="20"/>
              </w:rPr>
              <w:t>.</w:t>
            </w:r>
          </w:p>
        </w:tc>
        <w:tc>
          <w:tcPr>
            <w:tcW w:w="2977" w:type="dxa"/>
            <w:tcBorders>
              <w:top w:val="single" w:sz="8" w:space="0" w:color="33CC33"/>
              <w:bottom w:val="single" w:sz="8" w:space="0" w:color="33CC33"/>
            </w:tcBorders>
            <w:vAlign w:val="center"/>
          </w:tcPr>
          <w:p w14:paraId="15CA028E" w14:textId="0E408200" w:rsidR="00D67D46" w:rsidRPr="00EA42DB" w:rsidRDefault="00D67D46" w:rsidP="00D67D46">
            <w:pPr>
              <w:autoSpaceDE w:val="0"/>
              <w:autoSpaceDN w:val="0"/>
              <w:adjustRightInd w:val="0"/>
              <w:rPr>
                <w:rFonts w:cstheme="minorHAnsi"/>
                <w:i/>
                <w:sz w:val="20"/>
                <w:szCs w:val="20"/>
              </w:rPr>
            </w:pPr>
            <w:r w:rsidRPr="003C43FE">
              <w:rPr>
                <w:rFonts w:cstheme="minorHAnsi"/>
                <w:i/>
                <w:sz w:val="20"/>
                <w:szCs w:val="20"/>
              </w:rPr>
              <w:t>Ludność odnosząca korzyści ze środków ochrony przeciwpowodziowej</w:t>
            </w:r>
          </w:p>
        </w:tc>
        <w:tc>
          <w:tcPr>
            <w:tcW w:w="1276" w:type="dxa"/>
            <w:tcBorders>
              <w:top w:val="single" w:sz="8" w:space="0" w:color="33CC33"/>
              <w:bottom w:val="single" w:sz="8" w:space="0" w:color="33CC33"/>
            </w:tcBorders>
            <w:vAlign w:val="center"/>
          </w:tcPr>
          <w:p w14:paraId="01D0D0F0" w14:textId="63ADC14A" w:rsidR="00D67D46" w:rsidRPr="002B30FD" w:rsidRDefault="00D67D46" w:rsidP="00D67D46">
            <w:pPr>
              <w:spacing w:before="60" w:after="60"/>
              <w:jc w:val="center"/>
              <w:rPr>
                <w:rFonts w:cstheme="minorHAnsi"/>
                <w:sz w:val="20"/>
                <w:szCs w:val="20"/>
              </w:rPr>
            </w:pPr>
            <w:r>
              <w:rPr>
                <w:rFonts w:cstheme="minorHAnsi"/>
                <w:sz w:val="20"/>
                <w:szCs w:val="20"/>
              </w:rPr>
              <w:t>os.</w:t>
            </w:r>
          </w:p>
        </w:tc>
        <w:tc>
          <w:tcPr>
            <w:tcW w:w="1276" w:type="dxa"/>
            <w:tcBorders>
              <w:top w:val="single" w:sz="8" w:space="0" w:color="33CC33"/>
              <w:bottom w:val="single" w:sz="8" w:space="0" w:color="33CC33"/>
            </w:tcBorders>
            <w:vAlign w:val="center"/>
          </w:tcPr>
          <w:p w14:paraId="42EC4860" w14:textId="1BDD2C4C" w:rsidR="00D67D46" w:rsidRPr="002B30FD" w:rsidRDefault="00D67D46" w:rsidP="00D67D46">
            <w:pPr>
              <w:spacing w:before="80" w:after="80"/>
              <w:jc w:val="center"/>
              <w:rPr>
                <w:rFonts w:cstheme="minorHAnsi"/>
                <w:sz w:val="20"/>
                <w:szCs w:val="20"/>
              </w:rPr>
            </w:pPr>
            <w:r w:rsidRPr="002B30FD">
              <w:rPr>
                <w:rFonts w:cstheme="minorHAnsi"/>
                <w:sz w:val="20"/>
                <w:szCs w:val="20"/>
              </w:rPr>
              <w:t>rezultat</w:t>
            </w:r>
          </w:p>
        </w:tc>
        <w:tc>
          <w:tcPr>
            <w:tcW w:w="1417" w:type="dxa"/>
            <w:tcBorders>
              <w:top w:val="single" w:sz="8" w:space="0" w:color="33CC33"/>
              <w:bottom w:val="single" w:sz="8" w:space="0" w:color="33CC33"/>
            </w:tcBorders>
            <w:vAlign w:val="center"/>
          </w:tcPr>
          <w:p w14:paraId="7DA165C3" w14:textId="47E7F244"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33C9E759" w14:textId="04FF0ED0"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63BCFE66" w14:textId="5277DA2C" w:rsidR="00D67D46" w:rsidRPr="002B30FD" w:rsidRDefault="00D67D46" w:rsidP="00D67D46">
            <w:pPr>
              <w:autoSpaceDE w:val="0"/>
              <w:autoSpaceDN w:val="0"/>
              <w:adjustRightInd w:val="0"/>
              <w:spacing w:before="80" w:after="40"/>
              <w:jc w:val="both"/>
              <w:rPr>
                <w:rFonts w:cstheme="minorHAnsi"/>
                <w:sz w:val="20"/>
                <w:szCs w:val="20"/>
              </w:rPr>
            </w:pPr>
            <w:r w:rsidRPr="003C43FE">
              <w:rPr>
                <w:rFonts w:cstheme="minorHAnsi"/>
                <w:sz w:val="20"/>
                <w:szCs w:val="20"/>
              </w:rPr>
              <w:t>Ludność zamieszkująca tereny, na których wybudowano lub znacząco zmodernizowano infrastrukturę ochronną (w tym także zieloną infrastrukturę w celu przystosowanie się do zmian klimatu) w celu zmniejszenia podatności na ryzyko związane z powodziami. Wskaźnik uwzględnia ludność zamieszkującą na obszarach zagrożonych powodzią.</w:t>
            </w:r>
          </w:p>
        </w:tc>
      </w:tr>
      <w:tr w:rsidR="00D67D46" w:rsidRPr="000F4CA9" w14:paraId="4BA9BC08" w14:textId="77777777" w:rsidTr="003C43FE">
        <w:trPr>
          <w:trHeight w:val="63"/>
        </w:trPr>
        <w:tc>
          <w:tcPr>
            <w:tcW w:w="552" w:type="dxa"/>
            <w:tcBorders>
              <w:top w:val="single" w:sz="8" w:space="0" w:color="33CC33"/>
              <w:bottom w:val="single" w:sz="8" w:space="0" w:color="33CC33"/>
            </w:tcBorders>
            <w:vAlign w:val="center"/>
          </w:tcPr>
          <w:p w14:paraId="37C802AE" w14:textId="61362AB6" w:rsidR="00D67D46" w:rsidRPr="002B30FD" w:rsidRDefault="00D67D46" w:rsidP="00D67D46">
            <w:pPr>
              <w:spacing w:before="60" w:after="60"/>
              <w:rPr>
                <w:rFonts w:cstheme="minorHAnsi"/>
                <w:sz w:val="20"/>
                <w:szCs w:val="20"/>
              </w:rPr>
            </w:pPr>
            <w:r w:rsidRPr="002B30FD">
              <w:rPr>
                <w:rFonts w:cstheme="minorHAnsi"/>
                <w:sz w:val="20"/>
                <w:szCs w:val="20"/>
              </w:rPr>
              <w:t>1</w:t>
            </w:r>
            <w:r>
              <w:rPr>
                <w:rFonts w:cstheme="minorHAnsi"/>
                <w:sz w:val="20"/>
                <w:szCs w:val="20"/>
              </w:rPr>
              <w:t>3</w:t>
            </w:r>
            <w:r w:rsidRPr="002B30FD">
              <w:rPr>
                <w:rFonts w:cstheme="minorHAnsi"/>
                <w:sz w:val="20"/>
                <w:szCs w:val="20"/>
              </w:rPr>
              <w:t>.</w:t>
            </w:r>
          </w:p>
        </w:tc>
        <w:tc>
          <w:tcPr>
            <w:tcW w:w="2977" w:type="dxa"/>
            <w:tcBorders>
              <w:top w:val="single" w:sz="8" w:space="0" w:color="33CC33"/>
              <w:bottom w:val="single" w:sz="8" w:space="0" w:color="33CC33"/>
            </w:tcBorders>
            <w:vAlign w:val="center"/>
          </w:tcPr>
          <w:p w14:paraId="0F1B9179" w14:textId="20025217" w:rsidR="00D67D46" w:rsidRPr="002B30FD" w:rsidRDefault="00D67D46" w:rsidP="00D67D46">
            <w:pPr>
              <w:autoSpaceDE w:val="0"/>
              <w:autoSpaceDN w:val="0"/>
              <w:adjustRightInd w:val="0"/>
              <w:rPr>
                <w:rFonts w:cstheme="minorHAnsi"/>
                <w:i/>
                <w:sz w:val="20"/>
                <w:szCs w:val="20"/>
              </w:rPr>
            </w:pPr>
            <w:r w:rsidRPr="003C43FE">
              <w:rPr>
                <w:rFonts w:cstheme="minorHAnsi"/>
                <w:i/>
                <w:sz w:val="20"/>
                <w:szCs w:val="20"/>
              </w:rPr>
              <w:t>Ludność odnosząca korzyści ze środków ochrony przed niekontrolowanymi pożarami</w:t>
            </w:r>
          </w:p>
        </w:tc>
        <w:tc>
          <w:tcPr>
            <w:tcW w:w="1276" w:type="dxa"/>
            <w:tcBorders>
              <w:top w:val="single" w:sz="8" w:space="0" w:color="33CC33"/>
              <w:bottom w:val="single" w:sz="8" w:space="0" w:color="33CC33"/>
            </w:tcBorders>
            <w:vAlign w:val="center"/>
          </w:tcPr>
          <w:p w14:paraId="2FA894A4" w14:textId="2ECE271A" w:rsidR="00D67D46" w:rsidRPr="002B30FD" w:rsidRDefault="00D67D46" w:rsidP="00D67D46">
            <w:pPr>
              <w:spacing w:before="60" w:after="60"/>
              <w:jc w:val="center"/>
              <w:rPr>
                <w:rFonts w:cstheme="minorHAnsi"/>
                <w:sz w:val="20"/>
                <w:szCs w:val="20"/>
              </w:rPr>
            </w:pPr>
            <w:r>
              <w:rPr>
                <w:rFonts w:cstheme="minorHAnsi"/>
                <w:sz w:val="20"/>
                <w:szCs w:val="20"/>
              </w:rPr>
              <w:t>os.</w:t>
            </w:r>
          </w:p>
        </w:tc>
        <w:tc>
          <w:tcPr>
            <w:tcW w:w="1276" w:type="dxa"/>
            <w:tcBorders>
              <w:top w:val="single" w:sz="8" w:space="0" w:color="33CC33"/>
              <w:bottom w:val="single" w:sz="8" w:space="0" w:color="33CC33"/>
            </w:tcBorders>
            <w:vAlign w:val="center"/>
          </w:tcPr>
          <w:p w14:paraId="715B2E91" w14:textId="35BEEE55" w:rsidR="00D67D46" w:rsidRPr="002B30FD" w:rsidRDefault="00D67D46" w:rsidP="00D67D46">
            <w:pPr>
              <w:spacing w:before="80" w:after="80"/>
              <w:jc w:val="center"/>
              <w:rPr>
                <w:rFonts w:cstheme="minorHAnsi"/>
                <w:sz w:val="20"/>
                <w:szCs w:val="20"/>
              </w:rPr>
            </w:pPr>
            <w:r w:rsidRPr="002B30FD">
              <w:rPr>
                <w:rFonts w:cstheme="minorHAnsi"/>
                <w:sz w:val="20"/>
                <w:szCs w:val="20"/>
              </w:rPr>
              <w:t>rezultat</w:t>
            </w:r>
          </w:p>
        </w:tc>
        <w:tc>
          <w:tcPr>
            <w:tcW w:w="1417" w:type="dxa"/>
            <w:tcBorders>
              <w:top w:val="single" w:sz="8" w:space="0" w:color="33CC33"/>
              <w:bottom w:val="single" w:sz="8" w:space="0" w:color="33CC33"/>
            </w:tcBorders>
            <w:vAlign w:val="center"/>
          </w:tcPr>
          <w:p w14:paraId="52166C75" w14:textId="24C45082" w:rsidR="00D67D46" w:rsidRPr="002B30FD" w:rsidRDefault="00D67D46" w:rsidP="00D67D46">
            <w:pPr>
              <w:spacing w:before="80" w:after="80"/>
              <w:jc w:val="center"/>
              <w:rPr>
                <w:rFonts w:cstheme="minorHAnsi"/>
                <w:sz w:val="20"/>
                <w:szCs w:val="20"/>
              </w:rPr>
            </w:pPr>
          </w:p>
        </w:tc>
        <w:tc>
          <w:tcPr>
            <w:tcW w:w="992" w:type="dxa"/>
            <w:tcBorders>
              <w:top w:val="single" w:sz="8" w:space="0" w:color="33CC33"/>
              <w:bottom w:val="single" w:sz="8" w:space="0" w:color="33CC33"/>
            </w:tcBorders>
            <w:vAlign w:val="center"/>
          </w:tcPr>
          <w:p w14:paraId="414BA10A" w14:textId="67117BB9" w:rsidR="00D67D46" w:rsidRPr="002B30FD" w:rsidRDefault="00D67D46" w:rsidP="00D67D46">
            <w:pPr>
              <w:spacing w:before="80" w:after="80"/>
              <w:jc w:val="center"/>
              <w:rPr>
                <w:rFonts w:cstheme="minorHAnsi"/>
                <w:sz w:val="20"/>
                <w:szCs w:val="20"/>
              </w:rPr>
            </w:pPr>
          </w:p>
        </w:tc>
        <w:tc>
          <w:tcPr>
            <w:tcW w:w="6096" w:type="dxa"/>
            <w:tcBorders>
              <w:top w:val="single" w:sz="8" w:space="0" w:color="33CC33"/>
              <w:bottom w:val="single" w:sz="8" w:space="0" w:color="33CC33"/>
            </w:tcBorders>
            <w:vAlign w:val="center"/>
          </w:tcPr>
          <w:p w14:paraId="0D6DE2FD" w14:textId="388FAA7C" w:rsidR="00D67D46" w:rsidRPr="002B30FD" w:rsidRDefault="00D67D46" w:rsidP="00D67D46">
            <w:pPr>
              <w:autoSpaceDE w:val="0"/>
              <w:autoSpaceDN w:val="0"/>
              <w:adjustRightInd w:val="0"/>
              <w:spacing w:before="80" w:after="40"/>
              <w:jc w:val="both"/>
              <w:rPr>
                <w:rFonts w:cstheme="minorHAnsi"/>
                <w:sz w:val="20"/>
                <w:szCs w:val="20"/>
              </w:rPr>
            </w:pPr>
            <w:r w:rsidRPr="003C43FE">
              <w:rPr>
                <w:rFonts w:cstheme="minorHAnsi"/>
                <w:sz w:val="20"/>
                <w:szCs w:val="20"/>
              </w:rPr>
              <w:t>Ludność mieszkająca na obszarach narażonych na ryzyko niekontrolowanych pożarów, na których podatność na takie pożary zmniejsza się w wyniku projektów objętych wsparciem. Wskaźnik obejmuje środki ochrony, które są wyraźnie zlokalizowane na obszarach wysokiego ryzyka i które bezpośrednio dotyczą zagrożeń związanych z niekontrolowanymi pożarami, w przeciwieństwie do bardziej ogólnych środków wdrażanych na poziomie krajowym lub regionalnym.</w:t>
            </w:r>
          </w:p>
        </w:tc>
      </w:tr>
    </w:tbl>
    <w:p w14:paraId="69453700" w14:textId="77777777" w:rsidR="005B09B9" w:rsidRPr="00483DA1" w:rsidRDefault="005B09B9" w:rsidP="00E01179">
      <w:pPr>
        <w:spacing w:after="0"/>
        <w:rPr>
          <w:rFonts w:ascii="Arial" w:eastAsiaTheme="minorEastAsia" w:hAnsi="Arial" w:cs="Arial"/>
          <w:sz w:val="18"/>
          <w:szCs w:val="18"/>
          <w:lang w:eastAsia="pl-PL"/>
        </w:rPr>
      </w:pPr>
    </w:p>
    <w:p w14:paraId="27DBEE86" w14:textId="686D0448" w:rsidR="00BE377C" w:rsidRPr="00483DA1" w:rsidRDefault="00BE377C" w:rsidP="00870BF6">
      <w:pPr>
        <w:spacing w:after="0"/>
        <w:ind w:hanging="142"/>
        <w:rPr>
          <w:rFonts w:ascii="Arial" w:hAnsi="Arial" w:cs="Arial"/>
          <w:i/>
          <w:sz w:val="18"/>
          <w:szCs w:val="18"/>
        </w:rPr>
      </w:pPr>
    </w:p>
    <w:p w14:paraId="2CB61CC5" w14:textId="1CE3384B" w:rsidR="00102FB7" w:rsidRPr="00483DA1" w:rsidRDefault="00102FB7">
      <w:pPr>
        <w:tabs>
          <w:tab w:val="left" w:pos="3402"/>
          <w:tab w:val="left" w:pos="5103"/>
        </w:tabs>
        <w:ind w:left="-709"/>
        <w:jc w:val="both"/>
        <w:rPr>
          <w:rFonts w:ascii="Arial" w:hAnsi="Arial" w:cs="Arial"/>
          <w:sz w:val="18"/>
          <w:szCs w:val="18"/>
        </w:rPr>
      </w:pPr>
    </w:p>
    <w:sectPr w:rsidR="00102FB7" w:rsidRPr="00483DA1" w:rsidSect="002271F7">
      <w:headerReference w:type="even" r:id="rId9"/>
      <w:headerReference w:type="default" r:id="rId10"/>
      <w:footerReference w:type="even" r:id="rId11"/>
      <w:footerReference w:type="default" r:id="rId12"/>
      <w:headerReference w:type="first" r:id="rId13"/>
      <w:footerReference w:type="first" r:id="rId14"/>
      <w:footnotePr>
        <w:numFmt w:val="chicago"/>
      </w:footnotePr>
      <w:pgSz w:w="16838" w:h="11906" w:orient="landscape"/>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1F16A" w14:textId="77777777" w:rsidR="005B09B9" w:rsidRDefault="005B09B9" w:rsidP="00A11280">
      <w:pPr>
        <w:spacing w:after="0" w:line="240" w:lineRule="auto"/>
      </w:pPr>
      <w:r>
        <w:separator/>
      </w:r>
    </w:p>
  </w:endnote>
  <w:endnote w:type="continuationSeparator" w:id="0">
    <w:p w14:paraId="2FB0BA83" w14:textId="77777777" w:rsidR="005B09B9" w:rsidRDefault="005B09B9" w:rsidP="00A1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54EE" w14:textId="77777777" w:rsidR="003235D7" w:rsidRDefault="003235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79469"/>
      <w:docPartObj>
        <w:docPartGallery w:val="Page Numbers (Bottom of Page)"/>
        <w:docPartUnique/>
      </w:docPartObj>
    </w:sdtPr>
    <w:sdtEndPr/>
    <w:sdtContent>
      <w:p w14:paraId="2376BAA3" w14:textId="77777777" w:rsidR="005B09B9" w:rsidRDefault="005B09B9">
        <w:pPr>
          <w:pStyle w:val="Stopka"/>
          <w:jc w:val="center"/>
        </w:pPr>
        <w:r>
          <w:fldChar w:fldCharType="begin"/>
        </w:r>
        <w:r>
          <w:instrText>PAGE   \* MERGEFORMAT</w:instrText>
        </w:r>
        <w:r>
          <w:fldChar w:fldCharType="separate"/>
        </w:r>
        <w:r w:rsidR="00CF0350">
          <w:rPr>
            <w:noProof/>
          </w:rPr>
          <w:t>13</w:t>
        </w:r>
        <w:r>
          <w:rPr>
            <w:noProof/>
          </w:rPr>
          <w:fldChar w:fldCharType="end"/>
        </w:r>
      </w:p>
    </w:sdtContent>
  </w:sdt>
  <w:p w14:paraId="1CE2B7A3" w14:textId="77777777" w:rsidR="005B09B9" w:rsidRDefault="005B09B9" w:rsidP="00442FE8">
    <w:pPr>
      <w:pStyle w:val="Stopka"/>
      <w:tabs>
        <w:tab w:val="clear" w:pos="4536"/>
        <w:tab w:val="clear" w:pos="9072"/>
        <w:tab w:val="left" w:pos="790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4EE94" w14:textId="77777777" w:rsidR="003235D7" w:rsidRDefault="00323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6EA45" w14:textId="77777777" w:rsidR="005B09B9" w:rsidRDefault="005B09B9" w:rsidP="00A11280">
      <w:pPr>
        <w:spacing w:after="0" w:line="240" w:lineRule="auto"/>
      </w:pPr>
      <w:r>
        <w:separator/>
      </w:r>
    </w:p>
  </w:footnote>
  <w:footnote w:type="continuationSeparator" w:id="0">
    <w:p w14:paraId="70E686FE" w14:textId="77777777" w:rsidR="005B09B9" w:rsidRDefault="005B09B9" w:rsidP="00A11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EA7DF" w14:textId="77777777" w:rsidR="003235D7" w:rsidRDefault="003235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C9152" w14:textId="21A6B776" w:rsidR="00126AAF" w:rsidRPr="00421306" w:rsidRDefault="00126AAF" w:rsidP="00126AAF">
    <w:pPr>
      <w:pStyle w:val="Nagwek"/>
    </w:pPr>
    <w:r w:rsidRPr="00CE09D0">
      <w:rPr>
        <w:b/>
        <w:bCs/>
        <w:iCs/>
        <w:sz w:val="24"/>
        <w:szCs w:val="24"/>
      </w:rPr>
      <w:t xml:space="preserve">Załącznik nr </w:t>
    </w:r>
    <w:r>
      <w:rPr>
        <w:b/>
        <w:bCs/>
        <w:iCs/>
        <w:sz w:val="24"/>
        <w:szCs w:val="24"/>
      </w:rPr>
      <w:t>9</w:t>
    </w:r>
    <w:r>
      <w:rPr>
        <w:b/>
        <w:bCs/>
        <w:i/>
        <w:iCs/>
        <w:sz w:val="24"/>
        <w:szCs w:val="24"/>
      </w:rPr>
      <w:t xml:space="preserve"> </w:t>
    </w:r>
    <w:r>
      <w:rPr>
        <w:iCs/>
        <w:sz w:val="24"/>
        <w:szCs w:val="24"/>
      </w:rPr>
      <w:t xml:space="preserve">do Regulaminu wyboru projektów </w:t>
    </w:r>
    <w:r>
      <w:rPr>
        <w:iCs/>
        <w:sz w:val="24"/>
        <w:szCs w:val="24"/>
      </w:rPr>
      <w:br/>
      <w:t>Działanie</w:t>
    </w:r>
    <w:r w:rsidRPr="00997575">
      <w:rPr>
        <w:iCs/>
        <w:sz w:val="24"/>
        <w:szCs w:val="24"/>
      </w:rPr>
      <w:t xml:space="preserve"> </w:t>
    </w:r>
    <w:r w:rsidRPr="00D5768C">
      <w:rPr>
        <w:iCs/>
        <w:sz w:val="24"/>
        <w:szCs w:val="24"/>
      </w:rPr>
      <w:t xml:space="preserve">2.3 </w:t>
    </w:r>
    <w:r w:rsidRPr="002D26B2">
      <w:rPr>
        <w:i/>
        <w:sz w:val="24"/>
        <w:szCs w:val="24"/>
      </w:rPr>
      <w:t>Zapobieganie zagrożeniom związanym ze zmianą klimatu</w:t>
    </w:r>
    <w:r w:rsidRPr="00D5768C">
      <w:rPr>
        <w:iCs/>
        <w:sz w:val="24"/>
        <w:szCs w:val="24"/>
      </w:rPr>
      <w:t xml:space="preserve"> FEO 2021 – 2027</w:t>
    </w:r>
    <w:r>
      <w:rPr>
        <w:iCs/>
        <w:sz w:val="24"/>
        <w:szCs w:val="24"/>
      </w:rPr>
      <w:br/>
      <w:t xml:space="preserve">Wersja nr 1, </w:t>
    </w:r>
    <w:r w:rsidR="003235D7">
      <w:rPr>
        <w:iCs/>
        <w:sz w:val="24"/>
        <w:szCs w:val="24"/>
      </w:rPr>
      <w:t>grudzień</w:t>
    </w:r>
    <w:r w:rsidRPr="002B48C2">
      <w:rPr>
        <w:iCs/>
        <w:sz w:val="24"/>
        <w:szCs w:val="24"/>
      </w:rPr>
      <w:t xml:space="preserve"> 2024 r.</w:t>
    </w:r>
  </w:p>
  <w:p w14:paraId="357B97C4" w14:textId="77777777" w:rsidR="005B09B9" w:rsidRPr="00FC4C51" w:rsidRDefault="005B09B9" w:rsidP="00FC4C5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491B" w14:textId="4EDEF9C3" w:rsidR="00E53AED" w:rsidRPr="00421306" w:rsidRDefault="00E53AED" w:rsidP="00E53AED">
    <w:pPr>
      <w:pStyle w:val="Nagwek"/>
    </w:pPr>
    <w:r w:rsidRPr="00CE09D0">
      <w:rPr>
        <w:b/>
        <w:bCs/>
        <w:iCs/>
        <w:sz w:val="24"/>
        <w:szCs w:val="24"/>
      </w:rPr>
      <w:t xml:space="preserve">Załącznik nr </w:t>
    </w:r>
    <w:r>
      <w:rPr>
        <w:b/>
        <w:bCs/>
        <w:iCs/>
        <w:sz w:val="24"/>
        <w:szCs w:val="24"/>
      </w:rPr>
      <w:t>9</w:t>
    </w:r>
    <w:r>
      <w:rPr>
        <w:b/>
        <w:bCs/>
        <w:i/>
        <w:iCs/>
        <w:sz w:val="24"/>
        <w:szCs w:val="24"/>
      </w:rPr>
      <w:t xml:space="preserve"> </w:t>
    </w:r>
    <w:r>
      <w:rPr>
        <w:iCs/>
        <w:sz w:val="24"/>
        <w:szCs w:val="24"/>
      </w:rPr>
      <w:t xml:space="preserve">do Regulaminu wyboru projektów </w:t>
    </w:r>
    <w:r>
      <w:rPr>
        <w:iCs/>
        <w:sz w:val="24"/>
        <w:szCs w:val="24"/>
      </w:rPr>
      <w:br/>
      <w:t>Działanie</w:t>
    </w:r>
    <w:r w:rsidRPr="00997575">
      <w:rPr>
        <w:iCs/>
        <w:sz w:val="24"/>
        <w:szCs w:val="24"/>
      </w:rPr>
      <w:t xml:space="preserve"> </w:t>
    </w:r>
    <w:r w:rsidRPr="00D5768C">
      <w:rPr>
        <w:iCs/>
        <w:sz w:val="24"/>
        <w:szCs w:val="24"/>
      </w:rPr>
      <w:t xml:space="preserve">2.3 </w:t>
    </w:r>
    <w:r w:rsidRPr="002D26B2">
      <w:rPr>
        <w:i/>
        <w:sz w:val="24"/>
        <w:szCs w:val="24"/>
      </w:rPr>
      <w:t>Zapobieganie zagrożeniom związanym ze zmianą klimatu</w:t>
    </w:r>
    <w:r w:rsidRPr="00D5768C">
      <w:rPr>
        <w:iCs/>
        <w:sz w:val="24"/>
        <w:szCs w:val="24"/>
      </w:rPr>
      <w:t xml:space="preserve"> FEO 2021 – 2027</w:t>
    </w:r>
    <w:r>
      <w:rPr>
        <w:iCs/>
        <w:sz w:val="24"/>
        <w:szCs w:val="24"/>
      </w:rPr>
      <w:br/>
      <w:t xml:space="preserve">Wersja nr 1, </w:t>
    </w:r>
    <w:r w:rsidR="003235D7">
      <w:rPr>
        <w:iCs/>
        <w:sz w:val="24"/>
        <w:szCs w:val="24"/>
      </w:rPr>
      <w:t>grudzień</w:t>
    </w:r>
    <w:r w:rsidRPr="002B48C2">
      <w:rPr>
        <w:iCs/>
        <w:sz w:val="24"/>
        <w:szCs w:val="24"/>
      </w:rPr>
      <w:t xml:space="preserve"> 2024 r.</w:t>
    </w:r>
  </w:p>
  <w:p w14:paraId="6F35BB29" w14:textId="14FC298C" w:rsidR="005B09B9" w:rsidRPr="00E53AED" w:rsidRDefault="005B09B9" w:rsidP="00E53A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3302"/>
    <w:multiLevelType w:val="hybridMultilevel"/>
    <w:tmpl w:val="749C1348"/>
    <w:lvl w:ilvl="0" w:tplc="12DA84B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D74C6A"/>
    <w:multiLevelType w:val="hybridMultilevel"/>
    <w:tmpl w:val="928EEF2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1B0EF1"/>
    <w:multiLevelType w:val="hybridMultilevel"/>
    <w:tmpl w:val="A9CC620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435993"/>
    <w:multiLevelType w:val="hybridMultilevel"/>
    <w:tmpl w:val="D7461E56"/>
    <w:lvl w:ilvl="0" w:tplc="2438C0F6">
      <w:start w:val="1"/>
      <w:numFmt w:val="decimal"/>
      <w:lvlText w:val="%1."/>
      <w:lvlJc w:val="left"/>
      <w:pPr>
        <w:ind w:left="502"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2E7231"/>
    <w:multiLevelType w:val="hybridMultilevel"/>
    <w:tmpl w:val="18B42E5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7523AC"/>
    <w:multiLevelType w:val="hybridMultilevel"/>
    <w:tmpl w:val="7F706CC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1AB67DA1"/>
    <w:multiLevelType w:val="hybridMultilevel"/>
    <w:tmpl w:val="5A723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7E0CA9"/>
    <w:multiLevelType w:val="hybridMultilevel"/>
    <w:tmpl w:val="8C181DA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2B527F"/>
    <w:multiLevelType w:val="hybridMultilevel"/>
    <w:tmpl w:val="466AD6A2"/>
    <w:lvl w:ilvl="0" w:tplc="872C1E60">
      <w:start w:val="1"/>
      <w:numFmt w:val="decimal"/>
      <w:lvlText w:val="%1."/>
      <w:lvlJc w:val="left"/>
      <w:pPr>
        <w:ind w:left="502" w:hanging="360"/>
      </w:pPr>
      <w:rPr>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43C5674"/>
    <w:multiLevelType w:val="hybridMultilevel"/>
    <w:tmpl w:val="AD3EC724"/>
    <w:lvl w:ilvl="0" w:tplc="04150011">
      <w:start w:val="1"/>
      <w:numFmt w:val="decimal"/>
      <w:lvlText w:val="%1)"/>
      <w:lvlJc w:val="left"/>
      <w:pPr>
        <w:ind w:left="1179" w:hanging="360"/>
      </w:pPr>
      <w:rPr>
        <w:rFonts w:hint="default"/>
      </w:r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0" w15:restartNumberingAfterBreak="0">
    <w:nsid w:val="25E45FF6"/>
    <w:multiLevelType w:val="hybridMultilevel"/>
    <w:tmpl w:val="B72A564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B5254F"/>
    <w:multiLevelType w:val="hybridMultilevel"/>
    <w:tmpl w:val="23302B62"/>
    <w:lvl w:ilvl="0" w:tplc="0415000F">
      <w:start w:val="1"/>
      <w:numFmt w:val="decimal"/>
      <w:lvlText w:val="%1."/>
      <w:lvlJc w:val="left"/>
      <w:pPr>
        <w:ind w:left="50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2B922CB1"/>
    <w:multiLevelType w:val="hybridMultilevel"/>
    <w:tmpl w:val="99E0D076"/>
    <w:lvl w:ilvl="0" w:tplc="A1AA95B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D17A7F"/>
    <w:multiLevelType w:val="hybridMultilevel"/>
    <w:tmpl w:val="928EEF2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9737B1"/>
    <w:multiLevelType w:val="hybridMultilevel"/>
    <w:tmpl w:val="9B64D47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5F61F8"/>
    <w:multiLevelType w:val="hybridMultilevel"/>
    <w:tmpl w:val="173EF13C"/>
    <w:lvl w:ilvl="0" w:tplc="0EEA70A8">
      <w:start w:val="1"/>
      <w:numFmt w:val="decimal"/>
      <w:lvlText w:val="%1."/>
      <w:lvlJc w:val="left"/>
      <w:pPr>
        <w:ind w:left="502"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B226AB"/>
    <w:multiLevelType w:val="hybridMultilevel"/>
    <w:tmpl w:val="7E3C660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1A6EA8"/>
    <w:multiLevelType w:val="hybridMultilevel"/>
    <w:tmpl w:val="7E3C660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EA0471"/>
    <w:multiLevelType w:val="hybridMultilevel"/>
    <w:tmpl w:val="65504BC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0276B66"/>
    <w:multiLevelType w:val="hybridMultilevel"/>
    <w:tmpl w:val="F07A1E4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2AF7F8D"/>
    <w:multiLevelType w:val="hybridMultilevel"/>
    <w:tmpl w:val="B73AA6F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80E0AC7"/>
    <w:multiLevelType w:val="hybridMultilevel"/>
    <w:tmpl w:val="72B27C2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9951A09"/>
    <w:multiLevelType w:val="hybridMultilevel"/>
    <w:tmpl w:val="E00020B4"/>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EA672D"/>
    <w:multiLevelType w:val="hybridMultilevel"/>
    <w:tmpl w:val="7E3C66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 w15:restartNumberingAfterBreak="0">
    <w:nsid w:val="4D573EF8"/>
    <w:multiLevelType w:val="hybridMultilevel"/>
    <w:tmpl w:val="DE90F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972905"/>
    <w:multiLevelType w:val="hybridMultilevel"/>
    <w:tmpl w:val="749C1348"/>
    <w:lvl w:ilvl="0" w:tplc="12DA84B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143060"/>
    <w:multiLevelType w:val="hybridMultilevel"/>
    <w:tmpl w:val="54B6487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523C55"/>
    <w:multiLevelType w:val="hybridMultilevel"/>
    <w:tmpl w:val="B72A564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4AC12B6"/>
    <w:multiLevelType w:val="hybridMultilevel"/>
    <w:tmpl w:val="7E3C660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5DA4895"/>
    <w:multiLevelType w:val="hybridMultilevel"/>
    <w:tmpl w:val="749C1348"/>
    <w:lvl w:ilvl="0" w:tplc="12DA84B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7B763A"/>
    <w:multiLevelType w:val="hybridMultilevel"/>
    <w:tmpl w:val="B75CD6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45F70"/>
    <w:multiLevelType w:val="hybridMultilevel"/>
    <w:tmpl w:val="54B6487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DD46282"/>
    <w:multiLevelType w:val="hybridMultilevel"/>
    <w:tmpl w:val="7E3C660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FD5790"/>
    <w:multiLevelType w:val="hybridMultilevel"/>
    <w:tmpl w:val="FA7C2F9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F36DB4"/>
    <w:multiLevelType w:val="hybridMultilevel"/>
    <w:tmpl w:val="FA7870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04252DA"/>
    <w:multiLevelType w:val="hybridMultilevel"/>
    <w:tmpl w:val="749C1348"/>
    <w:lvl w:ilvl="0" w:tplc="12DA84B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3B6B5E"/>
    <w:multiLevelType w:val="hybridMultilevel"/>
    <w:tmpl w:val="87B8076C"/>
    <w:lvl w:ilvl="0" w:tplc="2DC08692">
      <w:start w:val="1"/>
      <w:numFmt w:val="decimal"/>
      <w:lvlText w:val="%1."/>
      <w:lvlJc w:val="left"/>
      <w:pPr>
        <w:ind w:left="502"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AB7E78"/>
    <w:multiLevelType w:val="hybridMultilevel"/>
    <w:tmpl w:val="E20EC6F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16cid:durableId="1454522795">
    <w:abstractNumId w:val="22"/>
  </w:num>
  <w:num w:numId="2" w16cid:durableId="351305695">
    <w:abstractNumId w:val="40"/>
  </w:num>
  <w:num w:numId="3" w16cid:durableId="1502040570">
    <w:abstractNumId w:val="19"/>
  </w:num>
  <w:num w:numId="4" w16cid:durableId="451555477">
    <w:abstractNumId w:val="36"/>
  </w:num>
  <w:num w:numId="5" w16cid:durableId="1889030982">
    <w:abstractNumId w:val="16"/>
  </w:num>
  <w:num w:numId="6" w16cid:durableId="624623702">
    <w:abstractNumId w:val="35"/>
  </w:num>
  <w:num w:numId="7" w16cid:durableId="2010327956">
    <w:abstractNumId w:val="23"/>
  </w:num>
  <w:num w:numId="8" w16cid:durableId="1097218696">
    <w:abstractNumId w:val="29"/>
  </w:num>
  <w:num w:numId="9" w16cid:durableId="1148984746">
    <w:abstractNumId w:val="17"/>
  </w:num>
  <w:num w:numId="10" w16cid:durableId="946353595">
    <w:abstractNumId w:val="15"/>
  </w:num>
  <w:num w:numId="11" w16cid:durableId="145324299">
    <w:abstractNumId w:val="3"/>
  </w:num>
  <w:num w:numId="12" w16cid:durableId="1982688561">
    <w:abstractNumId w:val="8"/>
  </w:num>
  <w:num w:numId="13" w16cid:durableId="967320404">
    <w:abstractNumId w:val="12"/>
  </w:num>
  <w:num w:numId="14" w16cid:durableId="522672727">
    <w:abstractNumId w:val="11"/>
  </w:num>
  <w:num w:numId="15" w16cid:durableId="472868219">
    <w:abstractNumId w:val="38"/>
  </w:num>
  <w:num w:numId="16" w16cid:durableId="1158887349">
    <w:abstractNumId w:val="31"/>
  </w:num>
  <w:num w:numId="17" w16cid:durableId="1483038925">
    <w:abstractNumId w:val="2"/>
  </w:num>
  <w:num w:numId="18" w16cid:durableId="2053117129">
    <w:abstractNumId w:val="7"/>
  </w:num>
  <w:num w:numId="19" w16cid:durableId="1780103084">
    <w:abstractNumId w:val="33"/>
  </w:num>
  <w:num w:numId="20" w16cid:durableId="2112972756">
    <w:abstractNumId w:val="14"/>
  </w:num>
  <w:num w:numId="21" w16cid:durableId="371223673">
    <w:abstractNumId w:val="24"/>
  </w:num>
  <w:num w:numId="22" w16cid:durableId="51391285">
    <w:abstractNumId w:val="20"/>
  </w:num>
  <w:num w:numId="23" w16cid:durableId="1706557565">
    <w:abstractNumId w:val="41"/>
  </w:num>
  <w:num w:numId="24" w16cid:durableId="1044409493">
    <w:abstractNumId w:val="4"/>
  </w:num>
  <w:num w:numId="25" w16cid:durableId="2054884508">
    <w:abstractNumId w:val="21"/>
  </w:num>
  <w:num w:numId="26" w16cid:durableId="1524053811">
    <w:abstractNumId w:val="18"/>
  </w:num>
  <w:num w:numId="27" w16cid:durableId="1003892623">
    <w:abstractNumId w:val="34"/>
  </w:num>
  <w:num w:numId="28" w16cid:durableId="304431235">
    <w:abstractNumId w:val="28"/>
  </w:num>
  <w:num w:numId="29" w16cid:durableId="1837499734">
    <w:abstractNumId w:val="10"/>
  </w:num>
  <w:num w:numId="30" w16cid:durableId="589512347">
    <w:abstractNumId w:val="1"/>
  </w:num>
  <w:num w:numId="31" w16cid:durableId="468985706">
    <w:abstractNumId w:val="27"/>
  </w:num>
  <w:num w:numId="32" w16cid:durableId="1853181859">
    <w:abstractNumId w:val="13"/>
  </w:num>
  <w:num w:numId="33" w16cid:durableId="1567380324">
    <w:abstractNumId w:val="26"/>
  </w:num>
  <w:num w:numId="34" w16cid:durableId="914126096">
    <w:abstractNumId w:val="39"/>
  </w:num>
  <w:num w:numId="35" w16cid:durableId="1860505941">
    <w:abstractNumId w:val="6"/>
  </w:num>
  <w:num w:numId="36" w16cid:durableId="1202863642">
    <w:abstractNumId w:val="5"/>
  </w:num>
  <w:num w:numId="37" w16cid:durableId="534856915">
    <w:abstractNumId w:val="0"/>
  </w:num>
  <w:num w:numId="38" w16cid:durableId="1465462634">
    <w:abstractNumId w:val="42"/>
  </w:num>
  <w:num w:numId="39" w16cid:durableId="1031801972">
    <w:abstractNumId w:val="9"/>
  </w:num>
  <w:num w:numId="40" w16cid:durableId="453138477">
    <w:abstractNumId w:val="32"/>
  </w:num>
  <w:num w:numId="41" w16cid:durableId="1808014046">
    <w:abstractNumId w:val="37"/>
  </w:num>
  <w:num w:numId="42" w16cid:durableId="224948473">
    <w:abstractNumId w:val="25"/>
  </w:num>
  <w:num w:numId="43" w16cid:durableId="14427264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14131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621"/>
    <w:rsid w:val="00001E12"/>
    <w:rsid w:val="00002D26"/>
    <w:rsid w:val="00006A99"/>
    <w:rsid w:val="0001004E"/>
    <w:rsid w:val="00010EEF"/>
    <w:rsid w:val="00015EC6"/>
    <w:rsid w:val="00022220"/>
    <w:rsid w:val="0002356F"/>
    <w:rsid w:val="000252B8"/>
    <w:rsid w:val="000305AA"/>
    <w:rsid w:val="000327B4"/>
    <w:rsid w:val="00034F3C"/>
    <w:rsid w:val="00035C17"/>
    <w:rsid w:val="00036830"/>
    <w:rsid w:val="00040DFE"/>
    <w:rsid w:val="000419E2"/>
    <w:rsid w:val="00042F3A"/>
    <w:rsid w:val="00055EE7"/>
    <w:rsid w:val="00056886"/>
    <w:rsid w:val="00061708"/>
    <w:rsid w:val="000637DD"/>
    <w:rsid w:val="0006395F"/>
    <w:rsid w:val="00067170"/>
    <w:rsid w:val="00072063"/>
    <w:rsid w:val="000735AC"/>
    <w:rsid w:val="000751CE"/>
    <w:rsid w:val="000757A9"/>
    <w:rsid w:val="00083607"/>
    <w:rsid w:val="00083D75"/>
    <w:rsid w:val="00084190"/>
    <w:rsid w:val="000871B9"/>
    <w:rsid w:val="00091AF0"/>
    <w:rsid w:val="0009398B"/>
    <w:rsid w:val="00095B63"/>
    <w:rsid w:val="00097710"/>
    <w:rsid w:val="000A0237"/>
    <w:rsid w:val="000A529C"/>
    <w:rsid w:val="000A6A14"/>
    <w:rsid w:val="000B31A9"/>
    <w:rsid w:val="000B5FE8"/>
    <w:rsid w:val="000B61B6"/>
    <w:rsid w:val="000C3414"/>
    <w:rsid w:val="000C6AA3"/>
    <w:rsid w:val="000E1172"/>
    <w:rsid w:val="000E1828"/>
    <w:rsid w:val="000E436C"/>
    <w:rsid w:val="000E5525"/>
    <w:rsid w:val="000E7FBF"/>
    <w:rsid w:val="000F36FA"/>
    <w:rsid w:val="000F5C3F"/>
    <w:rsid w:val="001028AA"/>
    <w:rsid w:val="00102FB7"/>
    <w:rsid w:val="00103B1B"/>
    <w:rsid w:val="00110626"/>
    <w:rsid w:val="001133C2"/>
    <w:rsid w:val="00115072"/>
    <w:rsid w:val="0011616D"/>
    <w:rsid w:val="001217A7"/>
    <w:rsid w:val="00125111"/>
    <w:rsid w:val="00126AAF"/>
    <w:rsid w:val="00127139"/>
    <w:rsid w:val="00131B88"/>
    <w:rsid w:val="00136D60"/>
    <w:rsid w:val="0014329F"/>
    <w:rsid w:val="001460B1"/>
    <w:rsid w:val="00152EEA"/>
    <w:rsid w:val="00160878"/>
    <w:rsid w:val="00161C3A"/>
    <w:rsid w:val="00163090"/>
    <w:rsid w:val="00163314"/>
    <w:rsid w:val="0016581B"/>
    <w:rsid w:val="00176A29"/>
    <w:rsid w:val="00177222"/>
    <w:rsid w:val="0018083F"/>
    <w:rsid w:val="00180987"/>
    <w:rsid w:val="00180A81"/>
    <w:rsid w:val="001811AE"/>
    <w:rsid w:val="00186A04"/>
    <w:rsid w:val="00186FCC"/>
    <w:rsid w:val="001901EB"/>
    <w:rsid w:val="00191A19"/>
    <w:rsid w:val="001930AE"/>
    <w:rsid w:val="001957B3"/>
    <w:rsid w:val="00196A28"/>
    <w:rsid w:val="00196F2C"/>
    <w:rsid w:val="001A32D2"/>
    <w:rsid w:val="001A3780"/>
    <w:rsid w:val="001A72B1"/>
    <w:rsid w:val="001B2650"/>
    <w:rsid w:val="001B2C86"/>
    <w:rsid w:val="001C196A"/>
    <w:rsid w:val="001C4092"/>
    <w:rsid w:val="001C4E95"/>
    <w:rsid w:val="001C55A8"/>
    <w:rsid w:val="001C5E23"/>
    <w:rsid w:val="001D103E"/>
    <w:rsid w:val="001D2DFD"/>
    <w:rsid w:val="001D330B"/>
    <w:rsid w:val="001D353F"/>
    <w:rsid w:val="001D3621"/>
    <w:rsid w:val="001D7CC3"/>
    <w:rsid w:val="001E01C8"/>
    <w:rsid w:val="001E3836"/>
    <w:rsid w:val="001E5516"/>
    <w:rsid w:val="001F1D54"/>
    <w:rsid w:val="0020439F"/>
    <w:rsid w:val="00210D3C"/>
    <w:rsid w:val="00220524"/>
    <w:rsid w:val="002218B6"/>
    <w:rsid w:val="002233DD"/>
    <w:rsid w:val="002240BB"/>
    <w:rsid w:val="002244FF"/>
    <w:rsid w:val="00226060"/>
    <w:rsid w:val="002271F7"/>
    <w:rsid w:val="00233FAE"/>
    <w:rsid w:val="0023430F"/>
    <w:rsid w:val="00240F99"/>
    <w:rsid w:val="0024751C"/>
    <w:rsid w:val="0025473F"/>
    <w:rsid w:val="00254FF1"/>
    <w:rsid w:val="0025646D"/>
    <w:rsid w:val="00256682"/>
    <w:rsid w:val="00261722"/>
    <w:rsid w:val="00264831"/>
    <w:rsid w:val="002672D2"/>
    <w:rsid w:val="002821A1"/>
    <w:rsid w:val="00283239"/>
    <w:rsid w:val="00292CCE"/>
    <w:rsid w:val="002948C3"/>
    <w:rsid w:val="002979FE"/>
    <w:rsid w:val="002A099C"/>
    <w:rsid w:val="002A3184"/>
    <w:rsid w:val="002A3A9C"/>
    <w:rsid w:val="002A3FC9"/>
    <w:rsid w:val="002A4384"/>
    <w:rsid w:val="002B08C1"/>
    <w:rsid w:val="002B0DC4"/>
    <w:rsid w:val="002B17E2"/>
    <w:rsid w:val="002B294F"/>
    <w:rsid w:val="002B30FD"/>
    <w:rsid w:val="002B4B5A"/>
    <w:rsid w:val="002B5BE2"/>
    <w:rsid w:val="002B5D3A"/>
    <w:rsid w:val="002C1ECA"/>
    <w:rsid w:val="002C63EB"/>
    <w:rsid w:val="002C69A3"/>
    <w:rsid w:val="002C78D8"/>
    <w:rsid w:val="002D1FFD"/>
    <w:rsid w:val="002D4B7F"/>
    <w:rsid w:val="002D6BC5"/>
    <w:rsid w:val="002E2679"/>
    <w:rsid w:val="002E2E08"/>
    <w:rsid w:val="002E5267"/>
    <w:rsid w:val="002F26D3"/>
    <w:rsid w:val="00306C54"/>
    <w:rsid w:val="00314703"/>
    <w:rsid w:val="003159B0"/>
    <w:rsid w:val="00316A82"/>
    <w:rsid w:val="003178FB"/>
    <w:rsid w:val="00317964"/>
    <w:rsid w:val="0032277D"/>
    <w:rsid w:val="003235D7"/>
    <w:rsid w:val="00326841"/>
    <w:rsid w:val="00327856"/>
    <w:rsid w:val="003350A1"/>
    <w:rsid w:val="0033677D"/>
    <w:rsid w:val="00340398"/>
    <w:rsid w:val="00343FA6"/>
    <w:rsid w:val="0034744E"/>
    <w:rsid w:val="0035192D"/>
    <w:rsid w:val="00352B56"/>
    <w:rsid w:val="00356D8C"/>
    <w:rsid w:val="003660CD"/>
    <w:rsid w:val="0036612F"/>
    <w:rsid w:val="00370627"/>
    <w:rsid w:val="00372AC0"/>
    <w:rsid w:val="003744E5"/>
    <w:rsid w:val="0037457E"/>
    <w:rsid w:val="00375E59"/>
    <w:rsid w:val="00376CA0"/>
    <w:rsid w:val="00382AEC"/>
    <w:rsid w:val="00383C55"/>
    <w:rsid w:val="003841BA"/>
    <w:rsid w:val="00384233"/>
    <w:rsid w:val="0039273C"/>
    <w:rsid w:val="00393132"/>
    <w:rsid w:val="00395F5D"/>
    <w:rsid w:val="003976DA"/>
    <w:rsid w:val="003A13A4"/>
    <w:rsid w:val="003A545F"/>
    <w:rsid w:val="003A56B7"/>
    <w:rsid w:val="003A5E23"/>
    <w:rsid w:val="003A69AB"/>
    <w:rsid w:val="003B26CD"/>
    <w:rsid w:val="003B2744"/>
    <w:rsid w:val="003B4296"/>
    <w:rsid w:val="003B7E2A"/>
    <w:rsid w:val="003C02CA"/>
    <w:rsid w:val="003C27B4"/>
    <w:rsid w:val="003C2811"/>
    <w:rsid w:val="003C43FE"/>
    <w:rsid w:val="003C4BBB"/>
    <w:rsid w:val="003C6E68"/>
    <w:rsid w:val="003D02A0"/>
    <w:rsid w:val="003D06D9"/>
    <w:rsid w:val="003D14F8"/>
    <w:rsid w:val="003D1E49"/>
    <w:rsid w:val="003D4DB5"/>
    <w:rsid w:val="003E0589"/>
    <w:rsid w:val="003E274D"/>
    <w:rsid w:val="003E2E4B"/>
    <w:rsid w:val="003E5A0C"/>
    <w:rsid w:val="004100BB"/>
    <w:rsid w:val="00411A37"/>
    <w:rsid w:val="00413B51"/>
    <w:rsid w:val="0042026D"/>
    <w:rsid w:val="00422357"/>
    <w:rsid w:val="00422A9B"/>
    <w:rsid w:val="0042514A"/>
    <w:rsid w:val="00425283"/>
    <w:rsid w:val="004253A5"/>
    <w:rsid w:val="00427357"/>
    <w:rsid w:val="00430732"/>
    <w:rsid w:val="00434BAA"/>
    <w:rsid w:val="00442FE8"/>
    <w:rsid w:val="00443BDF"/>
    <w:rsid w:val="00444D52"/>
    <w:rsid w:val="004528CF"/>
    <w:rsid w:val="00453084"/>
    <w:rsid w:val="00453F91"/>
    <w:rsid w:val="00454139"/>
    <w:rsid w:val="004569A1"/>
    <w:rsid w:val="0046280F"/>
    <w:rsid w:val="0046432F"/>
    <w:rsid w:val="00465F90"/>
    <w:rsid w:val="0046649E"/>
    <w:rsid w:val="00466966"/>
    <w:rsid w:val="004672CD"/>
    <w:rsid w:val="00470F68"/>
    <w:rsid w:val="00481B32"/>
    <w:rsid w:val="00482FB2"/>
    <w:rsid w:val="00483DA1"/>
    <w:rsid w:val="00483F5C"/>
    <w:rsid w:val="0048600E"/>
    <w:rsid w:val="00490085"/>
    <w:rsid w:val="004910A7"/>
    <w:rsid w:val="00495097"/>
    <w:rsid w:val="004A4C98"/>
    <w:rsid w:val="004A6BDC"/>
    <w:rsid w:val="004A6D13"/>
    <w:rsid w:val="004B69CE"/>
    <w:rsid w:val="004B7E7F"/>
    <w:rsid w:val="004C2768"/>
    <w:rsid w:val="004C3420"/>
    <w:rsid w:val="004C666D"/>
    <w:rsid w:val="004D39D2"/>
    <w:rsid w:val="004E17B4"/>
    <w:rsid w:val="004E3ACC"/>
    <w:rsid w:val="004E7A11"/>
    <w:rsid w:val="004F3C77"/>
    <w:rsid w:val="004F6BEF"/>
    <w:rsid w:val="00501A93"/>
    <w:rsid w:val="00501C83"/>
    <w:rsid w:val="005077F3"/>
    <w:rsid w:val="005102CC"/>
    <w:rsid w:val="005129C5"/>
    <w:rsid w:val="005156EF"/>
    <w:rsid w:val="00515E54"/>
    <w:rsid w:val="00521B3D"/>
    <w:rsid w:val="00525215"/>
    <w:rsid w:val="0052639C"/>
    <w:rsid w:val="00537297"/>
    <w:rsid w:val="005402FE"/>
    <w:rsid w:val="00543A97"/>
    <w:rsid w:val="005635E3"/>
    <w:rsid w:val="0056602B"/>
    <w:rsid w:val="00567072"/>
    <w:rsid w:val="00570604"/>
    <w:rsid w:val="00573A93"/>
    <w:rsid w:val="00575F75"/>
    <w:rsid w:val="0058726C"/>
    <w:rsid w:val="00587F10"/>
    <w:rsid w:val="00596A58"/>
    <w:rsid w:val="00596D42"/>
    <w:rsid w:val="005A14AC"/>
    <w:rsid w:val="005A4085"/>
    <w:rsid w:val="005A7CB1"/>
    <w:rsid w:val="005B09B9"/>
    <w:rsid w:val="005B2FEA"/>
    <w:rsid w:val="005B504A"/>
    <w:rsid w:val="005C01D2"/>
    <w:rsid w:val="005D5F43"/>
    <w:rsid w:val="005E4353"/>
    <w:rsid w:val="005E54E5"/>
    <w:rsid w:val="005E63FE"/>
    <w:rsid w:val="005E6E72"/>
    <w:rsid w:val="005F1689"/>
    <w:rsid w:val="005F38DE"/>
    <w:rsid w:val="005F7A29"/>
    <w:rsid w:val="005F7C33"/>
    <w:rsid w:val="00601B5A"/>
    <w:rsid w:val="006041FA"/>
    <w:rsid w:val="0060480B"/>
    <w:rsid w:val="006053E7"/>
    <w:rsid w:val="006074ED"/>
    <w:rsid w:val="00610768"/>
    <w:rsid w:val="00613B97"/>
    <w:rsid w:val="00615A30"/>
    <w:rsid w:val="00622249"/>
    <w:rsid w:val="00624C31"/>
    <w:rsid w:val="00624D16"/>
    <w:rsid w:val="006276A3"/>
    <w:rsid w:val="006322FA"/>
    <w:rsid w:val="00634313"/>
    <w:rsid w:val="00637635"/>
    <w:rsid w:val="006430D2"/>
    <w:rsid w:val="00654389"/>
    <w:rsid w:val="006545EC"/>
    <w:rsid w:val="0065570B"/>
    <w:rsid w:val="0065665B"/>
    <w:rsid w:val="006613F3"/>
    <w:rsid w:val="00663223"/>
    <w:rsid w:val="006640B4"/>
    <w:rsid w:val="00666DC8"/>
    <w:rsid w:val="006674CF"/>
    <w:rsid w:val="00672CF7"/>
    <w:rsid w:val="00680775"/>
    <w:rsid w:val="0068478B"/>
    <w:rsid w:val="00694A28"/>
    <w:rsid w:val="006A2401"/>
    <w:rsid w:val="006A43A9"/>
    <w:rsid w:val="006A460D"/>
    <w:rsid w:val="006A579D"/>
    <w:rsid w:val="006A74EE"/>
    <w:rsid w:val="006B1E28"/>
    <w:rsid w:val="006B6022"/>
    <w:rsid w:val="006B7DBF"/>
    <w:rsid w:val="006C44ED"/>
    <w:rsid w:val="006C77D9"/>
    <w:rsid w:val="006D2E34"/>
    <w:rsid w:val="006D356F"/>
    <w:rsid w:val="006D63E7"/>
    <w:rsid w:val="006E194D"/>
    <w:rsid w:val="006E2806"/>
    <w:rsid w:val="006E4410"/>
    <w:rsid w:val="006E54A6"/>
    <w:rsid w:val="006E5DC7"/>
    <w:rsid w:val="006F18CC"/>
    <w:rsid w:val="006F1C8E"/>
    <w:rsid w:val="006F5F19"/>
    <w:rsid w:val="006F6464"/>
    <w:rsid w:val="006F6CF9"/>
    <w:rsid w:val="006F70FD"/>
    <w:rsid w:val="0070236E"/>
    <w:rsid w:val="00711EE5"/>
    <w:rsid w:val="00716992"/>
    <w:rsid w:val="007201CA"/>
    <w:rsid w:val="00720906"/>
    <w:rsid w:val="00720BEC"/>
    <w:rsid w:val="00723F91"/>
    <w:rsid w:val="007335DB"/>
    <w:rsid w:val="00735EAE"/>
    <w:rsid w:val="00735F6D"/>
    <w:rsid w:val="0074049A"/>
    <w:rsid w:val="00740C1F"/>
    <w:rsid w:val="00742D49"/>
    <w:rsid w:val="00747375"/>
    <w:rsid w:val="00757A2D"/>
    <w:rsid w:val="00760B0C"/>
    <w:rsid w:val="00761D7C"/>
    <w:rsid w:val="00762BB5"/>
    <w:rsid w:val="00774FA1"/>
    <w:rsid w:val="007754AA"/>
    <w:rsid w:val="00775B56"/>
    <w:rsid w:val="007770FB"/>
    <w:rsid w:val="00780302"/>
    <w:rsid w:val="0078060A"/>
    <w:rsid w:val="007815E2"/>
    <w:rsid w:val="007819E8"/>
    <w:rsid w:val="007832FF"/>
    <w:rsid w:val="00783A8E"/>
    <w:rsid w:val="00785F4C"/>
    <w:rsid w:val="00790A97"/>
    <w:rsid w:val="0079394C"/>
    <w:rsid w:val="0079740B"/>
    <w:rsid w:val="007A27F7"/>
    <w:rsid w:val="007A69E4"/>
    <w:rsid w:val="007B0796"/>
    <w:rsid w:val="007B3E77"/>
    <w:rsid w:val="007C41F6"/>
    <w:rsid w:val="007D00DC"/>
    <w:rsid w:val="007D3E62"/>
    <w:rsid w:val="007D46E8"/>
    <w:rsid w:val="007D4C96"/>
    <w:rsid w:val="007D7F49"/>
    <w:rsid w:val="007E034D"/>
    <w:rsid w:val="007E1DB5"/>
    <w:rsid w:val="007F0A9C"/>
    <w:rsid w:val="007F1AC9"/>
    <w:rsid w:val="007F6DFA"/>
    <w:rsid w:val="008001AD"/>
    <w:rsid w:val="0080142A"/>
    <w:rsid w:val="00803AA7"/>
    <w:rsid w:val="00806531"/>
    <w:rsid w:val="00811CFE"/>
    <w:rsid w:val="00813ACE"/>
    <w:rsid w:val="008172D4"/>
    <w:rsid w:val="00820327"/>
    <w:rsid w:val="008268A1"/>
    <w:rsid w:val="008277E7"/>
    <w:rsid w:val="00831DA4"/>
    <w:rsid w:val="00833C84"/>
    <w:rsid w:val="0083699C"/>
    <w:rsid w:val="00840F98"/>
    <w:rsid w:val="008417F9"/>
    <w:rsid w:val="008428E9"/>
    <w:rsid w:val="0084387E"/>
    <w:rsid w:val="00852566"/>
    <w:rsid w:val="00861566"/>
    <w:rsid w:val="00861990"/>
    <w:rsid w:val="00862EA9"/>
    <w:rsid w:val="00864E42"/>
    <w:rsid w:val="00865157"/>
    <w:rsid w:val="00870BF6"/>
    <w:rsid w:val="008733AB"/>
    <w:rsid w:val="00874EED"/>
    <w:rsid w:val="00880536"/>
    <w:rsid w:val="00881689"/>
    <w:rsid w:val="008823AA"/>
    <w:rsid w:val="00883127"/>
    <w:rsid w:val="00884566"/>
    <w:rsid w:val="00886B5E"/>
    <w:rsid w:val="0089055E"/>
    <w:rsid w:val="008974BB"/>
    <w:rsid w:val="008A02D7"/>
    <w:rsid w:val="008A3625"/>
    <w:rsid w:val="008C315C"/>
    <w:rsid w:val="008C4EE2"/>
    <w:rsid w:val="008C5724"/>
    <w:rsid w:val="008C59D7"/>
    <w:rsid w:val="008C63FE"/>
    <w:rsid w:val="008C6877"/>
    <w:rsid w:val="008C77BE"/>
    <w:rsid w:val="008D3403"/>
    <w:rsid w:val="008D3E47"/>
    <w:rsid w:val="008E0923"/>
    <w:rsid w:val="008E1221"/>
    <w:rsid w:val="008E6BDD"/>
    <w:rsid w:val="008E70A7"/>
    <w:rsid w:val="008E76A3"/>
    <w:rsid w:val="008E7FF7"/>
    <w:rsid w:val="008F044A"/>
    <w:rsid w:val="008F0F56"/>
    <w:rsid w:val="008F18BC"/>
    <w:rsid w:val="008F2FEE"/>
    <w:rsid w:val="008F3B44"/>
    <w:rsid w:val="008F7815"/>
    <w:rsid w:val="00902971"/>
    <w:rsid w:val="009029C4"/>
    <w:rsid w:val="009036F8"/>
    <w:rsid w:val="00904DDF"/>
    <w:rsid w:val="00905AC7"/>
    <w:rsid w:val="009119D4"/>
    <w:rsid w:val="00912DAF"/>
    <w:rsid w:val="00913370"/>
    <w:rsid w:val="00913791"/>
    <w:rsid w:val="00916534"/>
    <w:rsid w:val="0091660E"/>
    <w:rsid w:val="00917D52"/>
    <w:rsid w:val="00921408"/>
    <w:rsid w:val="00923DC2"/>
    <w:rsid w:val="0092434A"/>
    <w:rsid w:val="009246BE"/>
    <w:rsid w:val="00930C72"/>
    <w:rsid w:val="00931055"/>
    <w:rsid w:val="009417DB"/>
    <w:rsid w:val="00944557"/>
    <w:rsid w:val="009458D9"/>
    <w:rsid w:val="0094668B"/>
    <w:rsid w:val="00953A2D"/>
    <w:rsid w:val="00957E5D"/>
    <w:rsid w:val="0096569F"/>
    <w:rsid w:val="0096700F"/>
    <w:rsid w:val="00970072"/>
    <w:rsid w:val="00974060"/>
    <w:rsid w:val="00975F71"/>
    <w:rsid w:val="00986C2B"/>
    <w:rsid w:val="0098771A"/>
    <w:rsid w:val="00991562"/>
    <w:rsid w:val="00992F45"/>
    <w:rsid w:val="00993E65"/>
    <w:rsid w:val="0099519F"/>
    <w:rsid w:val="00997070"/>
    <w:rsid w:val="009A0CEB"/>
    <w:rsid w:val="009A1C80"/>
    <w:rsid w:val="009A1F33"/>
    <w:rsid w:val="009B1AF2"/>
    <w:rsid w:val="009B1C1D"/>
    <w:rsid w:val="009B3E76"/>
    <w:rsid w:val="009B5198"/>
    <w:rsid w:val="009B6505"/>
    <w:rsid w:val="009C4F1B"/>
    <w:rsid w:val="009C6492"/>
    <w:rsid w:val="009D29FB"/>
    <w:rsid w:val="009D4EE9"/>
    <w:rsid w:val="009D760C"/>
    <w:rsid w:val="009E068A"/>
    <w:rsid w:val="009E1752"/>
    <w:rsid w:val="009E3594"/>
    <w:rsid w:val="009E3C4A"/>
    <w:rsid w:val="009F297D"/>
    <w:rsid w:val="009F441F"/>
    <w:rsid w:val="00A024A6"/>
    <w:rsid w:val="00A0678F"/>
    <w:rsid w:val="00A11280"/>
    <w:rsid w:val="00A12330"/>
    <w:rsid w:val="00A12854"/>
    <w:rsid w:val="00A13FD0"/>
    <w:rsid w:val="00A17925"/>
    <w:rsid w:val="00A21B4F"/>
    <w:rsid w:val="00A229B6"/>
    <w:rsid w:val="00A23168"/>
    <w:rsid w:val="00A2321F"/>
    <w:rsid w:val="00A23361"/>
    <w:rsid w:val="00A26F6A"/>
    <w:rsid w:val="00A37E09"/>
    <w:rsid w:val="00A406FE"/>
    <w:rsid w:val="00A4517A"/>
    <w:rsid w:val="00A55E0F"/>
    <w:rsid w:val="00A56DCC"/>
    <w:rsid w:val="00A64913"/>
    <w:rsid w:val="00A74993"/>
    <w:rsid w:val="00A7590E"/>
    <w:rsid w:val="00A75D3B"/>
    <w:rsid w:val="00A76BDD"/>
    <w:rsid w:val="00A81A9E"/>
    <w:rsid w:val="00A83DBA"/>
    <w:rsid w:val="00A85AB9"/>
    <w:rsid w:val="00A86243"/>
    <w:rsid w:val="00A91CD6"/>
    <w:rsid w:val="00A93672"/>
    <w:rsid w:val="00A967AC"/>
    <w:rsid w:val="00A96B60"/>
    <w:rsid w:val="00A97284"/>
    <w:rsid w:val="00A9780F"/>
    <w:rsid w:val="00AA43DC"/>
    <w:rsid w:val="00AB176A"/>
    <w:rsid w:val="00AB6726"/>
    <w:rsid w:val="00AC12E7"/>
    <w:rsid w:val="00AC22E3"/>
    <w:rsid w:val="00AC4C19"/>
    <w:rsid w:val="00AC7900"/>
    <w:rsid w:val="00AD244B"/>
    <w:rsid w:val="00AD497B"/>
    <w:rsid w:val="00AD69B8"/>
    <w:rsid w:val="00AD6A25"/>
    <w:rsid w:val="00AD7C6B"/>
    <w:rsid w:val="00AE1F0B"/>
    <w:rsid w:val="00AE66D2"/>
    <w:rsid w:val="00AF2D17"/>
    <w:rsid w:val="00AF42AA"/>
    <w:rsid w:val="00AF7E93"/>
    <w:rsid w:val="00B118EC"/>
    <w:rsid w:val="00B12AE2"/>
    <w:rsid w:val="00B25DDC"/>
    <w:rsid w:val="00B26A50"/>
    <w:rsid w:val="00B26E9F"/>
    <w:rsid w:val="00B33396"/>
    <w:rsid w:val="00B4195E"/>
    <w:rsid w:val="00B43839"/>
    <w:rsid w:val="00B4493F"/>
    <w:rsid w:val="00B503CF"/>
    <w:rsid w:val="00B53551"/>
    <w:rsid w:val="00B60267"/>
    <w:rsid w:val="00B64A26"/>
    <w:rsid w:val="00B6688C"/>
    <w:rsid w:val="00B6775E"/>
    <w:rsid w:val="00B71412"/>
    <w:rsid w:val="00B73E4B"/>
    <w:rsid w:val="00B7446F"/>
    <w:rsid w:val="00B74748"/>
    <w:rsid w:val="00B91714"/>
    <w:rsid w:val="00B921A1"/>
    <w:rsid w:val="00B974D2"/>
    <w:rsid w:val="00B97C67"/>
    <w:rsid w:val="00BA534A"/>
    <w:rsid w:val="00BA60AC"/>
    <w:rsid w:val="00BA6726"/>
    <w:rsid w:val="00BB0333"/>
    <w:rsid w:val="00BB0608"/>
    <w:rsid w:val="00BC1E69"/>
    <w:rsid w:val="00BC7065"/>
    <w:rsid w:val="00BC7E9A"/>
    <w:rsid w:val="00BD1880"/>
    <w:rsid w:val="00BD1A41"/>
    <w:rsid w:val="00BD2CC0"/>
    <w:rsid w:val="00BD38E2"/>
    <w:rsid w:val="00BD4C56"/>
    <w:rsid w:val="00BD54E4"/>
    <w:rsid w:val="00BD5C87"/>
    <w:rsid w:val="00BD6CBC"/>
    <w:rsid w:val="00BD721D"/>
    <w:rsid w:val="00BE02BF"/>
    <w:rsid w:val="00BE377C"/>
    <w:rsid w:val="00BE3D3B"/>
    <w:rsid w:val="00BE71DE"/>
    <w:rsid w:val="00BF2B8A"/>
    <w:rsid w:val="00BF36C7"/>
    <w:rsid w:val="00BF6876"/>
    <w:rsid w:val="00C16418"/>
    <w:rsid w:val="00C17C93"/>
    <w:rsid w:val="00C25BD5"/>
    <w:rsid w:val="00C3471A"/>
    <w:rsid w:val="00C36E39"/>
    <w:rsid w:val="00C374C2"/>
    <w:rsid w:val="00C37A8F"/>
    <w:rsid w:val="00C37E25"/>
    <w:rsid w:val="00C43ACD"/>
    <w:rsid w:val="00C44C0C"/>
    <w:rsid w:val="00C5569D"/>
    <w:rsid w:val="00C55929"/>
    <w:rsid w:val="00C56394"/>
    <w:rsid w:val="00C56BC1"/>
    <w:rsid w:val="00C73BC9"/>
    <w:rsid w:val="00C762FB"/>
    <w:rsid w:val="00C76AD4"/>
    <w:rsid w:val="00C83B73"/>
    <w:rsid w:val="00C845B1"/>
    <w:rsid w:val="00C93A1D"/>
    <w:rsid w:val="00C9500E"/>
    <w:rsid w:val="00C953C5"/>
    <w:rsid w:val="00C95762"/>
    <w:rsid w:val="00C965FE"/>
    <w:rsid w:val="00CA1A8B"/>
    <w:rsid w:val="00CA1D76"/>
    <w:rsid w:val="00CA4446"/>
    <w:rsid w:val="00CB2ACB"/>
    <w:rsid w:val="00CB2D0B"/>
    <w:rsid w:val="00CB7564"/>
    <w:rsid w:val="00CC7854"/>
    <w:rsid w:val="00CD1A35"/>
    <w:rsid w:val="00CD70FA"/>
    <w:rsid w:val="00CE040A"/>
    <w:rsid w:val="00CF0350"/>
    <w:rsid w:val="00CF0720"/>
    <w:rsid w:val="00CF1602"/>
    <w:rsid w:val="00CF558C"/>
    <w:rsid w:val="00CF7C96"/>
    <w:rsid w:val="00D01141"/>
    <w:rsid w:val="00D028C2"/>
    <w:rsid w:val="00D02C92"/>
    <w:rsid w:val="00D03DF0"/>
    <w:rsid w:val="00D07438"/>
    <w:rsid w:val="00D11990"/>
    <w:rsid w:val="00D12DE8"/>
    <w:rsid w:val="00D43689"/>
    <w:rsid w:val="00D509E2"/>
    <w:rsid w:val="00D5721C"/>
    <w:rsid w:val="00D67B61"/>
    <w:rsid w:val="00D67D46"/>
    <w:rsid w:val="00D708B3"/>
    <w:rsid w:val="00D73DC2"/>
    <w:rsid w:val="00D80AAE"/>
    <w:rsid w:val="00D822A7"/>
    <w:rsid w:val="00D8458B"/>
    <w:rsid w:val="00D862AA"/>
    <w:rsid w:val="00D91B23"/>
    <w:rsid w:val="00D957C4"/>
    <w:rsid w:val="00D95C70"/>
    <w:rsid w:val="00DA1AA6"/>
    <w:rsid w:val="00DA3986"/>
    <w:rsid w:val="00DA4D8E"/>
    <w:rsid w:val="00DA5A0A"/>
    <w:rsid w:val="00DC07D6"/>
    <w:rsid w:val="00DC1F31"/>
    <w:rsid w:val="00DC5A06"/>
    <w:rsid w:val="00DD35E6"/>
    <w:rsid w:val="00DD5135"/>
    <w:rsid w:val="00DD52AA"/>
    <w:rsid w:val="00DD5A07"/>
    <w:rsid w:val="00DD5DAB"/>
    <w:rsid w:val="00DE2EBA"/>
    <w:rsid w:val="00DE4C96"/>
    <w:rsid w:val="00DE70F2"/>
    <w:rsid w:val="00DE7165"/>
    <w:rsid w:val="00DF17CF"/>
    <w:rsid w:val="00DF24B2"/>
    <w:rsid w:val="00E01179"/>
    <w:rsid w:val="00E02D65"/>
    <w:rsid w:val="00E05C71"/>
    <w:rsid w:val="00E064EE"/>
    <w:rsid w:val="00E073DF"/>
    <w:rsid w:val="00E12508"/>
    <w:rsid w:val="00E24B1E"/>
    <w:rsid w:val="00E2777E"/>
    <w:rsid w:val="00E347C4"/>
    <w:rsid w:val="00E40BB1"/>
    <w:rsid w:val="00E41845"/>
    <w:rsid w:val="00E506BB"/>
    <w:rsid w:val="00E5099E"/>
    <w:rsid w:val="00E53AED"/>
    <w:rsid w:val="00E57E0B"/>
    <w:rsid w:val="00E640C6"/>
    <w:rsid w:val="00E64D78"/>
    <w:rsid w:val="00E65FED"/>
    <w:rsid w:val="00E71757"/>
    <w:rsid w:val="00E73D82"/>
    <w:rsid w:val="00E76A86"/>
    <w:rsid w:val="00E82132"/>
    <w:rsid w:val="00E86251"/>
    <w:rsid w:val="00E924B5"/>
    <w:rsid w:val="00E92D8C"/>
    <w:rsid w:val="00EA0342"/>
    <w:rsid w:val="00EA42DB"/>
    <w:rsid w:val="00EA5A7F"/>
    <w:rsid w:val="00EB2C78"/>
    <w:rsid w:val="00EB4C55"/>
    <w:rsid w:val="00EB68E4"/>
    <w:rsid w:val="00EC045E"/>
    <w:rsid w:val="00EC22EC"/>
    <w:rsid w:val="00EC4CA7"/>
    <w:rsid w:val="00EC508A"/>
    <w:rsid w:val="00ED0F02"/>
    <w:rsid w:val="00ED76BF"/>
    <w:rsid w:val="00EE3093"/>
    <w:rsid w:val="00EE7774"/>
    <w:rsid w:val="00EF73BF"/>
    <w:rsid w:val="00F00794"/>
    <w:rsid w:val="00F03716"/>
    <w:rsid w:val="00F0471F"/>
    <w:rsid w:val="00F04E5C"/>
    <w:rsid w:val="00F05843"/>
    <w:rsid w:val="00F05A86"/>
    <w:rsid w:val="00F10D01"/>
    <w:rsid w:val="00F10E46"/>
    <w:rsid w:val="00F1464B"/>
    <w:rsid w:val="00F20335"/>
    <w:rsid w:val="00F208EB"/>
    <w:rsid w:val="00F21C17"/>
    <w:rsid w:val="00F30232"/>
    <w:rsid w:val="00F32317"/>
    <w:rsid w:val="00F33839"/>
    <w:rsid w:val="00F3485A"/>
    <w:rsid w:val="00F4137B"/>
    <w:rsid w:val="00F46F9E"/>
    <w:rsid w:val="00F4759C"/>
    <w:rsid w:val="00F50AA2"/>
    <w:rsid w:val="00F53B6A"/>
    <w:rsid w:val="00F54C3D"/>
    <w:rsid w:val="00F6180E"/>
    <w:rsid w:val="00F65847"/>
    <w:rsid w:val="00F74401"/>
    <w:rsid w:val="00F74BA2"/>
    <w:rsid w:val="00F75B93"/>
    <w:rsid w:val="00F85A76"/>
    <w:rsid w:val="00F91A40"/>
    <w:rsid w:val="00F95885"/>
    <w:rsid w:val="00FA05CA"/>
    <w:rsid w:val="00FA1FFA"/>
    <w:rsid w:val="00FA2FFB"/>
    <w:rsid w:val="00FA6B10"/>
    <w:rsid w:val="00FB2D95"/>
    <w:rsid w:val="00FC01D2"/>
    <w:rsid w:val="00FC4736"/>
    <w:rsid w:val="00FC4B31"/>
    <w:rsid w:val="00FC4C51"/>
    <w:rsid w:val="00FC63DC"/>
    <w:rsid w:val="00FD0483"/>
    <w:rsid w:val="00FD1A2C"/>
    <w:rsid w:val="00FD3BF5"/>
    <w:rsid w:val="00FD464C"/>
    <w:rsid w:val="00FD69C6"/>
    <w:rsid w:val="00FE2349"/>
    <w:rsid w:val="00FF4003"/>
    <w:rsid w:val="00FF5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F4A888C"/>
  <w15:docId w15:val="{730BC603-C45C-438B-8B1F-A9C150F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7FF7"/>
  </w:style>
  <w:style w:type="paragraph" w:styleId="Nagwek1">
    <w:name w:val="heading 1"/>
    <w:basedOn w:val="Normalny"/>
    <w:next w:val="Normalny"/>
    <w:link w:val="Nagwek1Znak"/>
    <w:uiPriority w:val="9"/>
    <w:qFormat/>
    <w:rsid w:val="00694A2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A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A11280"/>
    <w:pPr>
      <w:tabs>
        <w:tab w:val="center" w:pos="4536"/>
        <w:tab w:val="right" w:pos="9072"/>
      </w:tabs>
      <w:spacing w:after="0" w:line="240" w:lineRule="auto"/>
    </w:pPr>
  </w:style>
  <w:style w:type="character" w:customStyle="1" w:styleId="NagwekZnak">
    <w:name w:val="Nagłówek Znak"/>
    <w:basedOn w:val="Domylnaczcionkaakapitu"/>
    <w:link w:val="Nagwek"/>
    <w:rsid w:val="00A11280"/>
  </w:style>
  <w:style w:type="paragraph" w:styleId="Stopka">
    <w:name w:val="footer"/>
    <w:basedOn w:val="Normalny"/>
    <w:link w:val="StopkaZnak"/>
    <w:uiPriority w:val="99"/>
    <w:unhideWhenUsed/>
    <w:rsid w:val="00A112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1280"/>
  </w:style>
  <w:style w:type="paragraph" w:styleId="Tekstdymka">
    <w:name w:val="Balloon Text"/>
    <w:basedOn w:val="Normalny"/>
    <w:link w:val="TekstdymkaZnak"/>
    <w:uiPriority w:val="99"/>
    <w:semiHidden/>
    <w:unhideWhenUsed/>
    <w:rsid w:val="008831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3127"/>
    <w:rPr>
      <w:rFonts w:ascii="Segoe UI" w:hAnsi="Segoe UI" w:cs="Segoe UI"/>
      <w:sz w:val="18"/>
      <w:szCs w:val="18"/>
    </w:rPr>
  </w:style>
  <w:style w:type="paragraph" w:styleId="Akapitzlist">
    <w:name w:val="List Paragraph"/>
    <w:aliases w:val="Akapit z listą BS,Akapit z listą3,Akapit z listą31,Akapit z listą2"/>
    <w:basedOn w:val="Normalny"/>
    <w:link w:val="AkapitzlistZnak"/>
    <w:uiPriority w:val="34"/>
    <w:qFormat/>
    <w:rsid w:val="00F32317"/>
    <w:pPr>
      <w:ind w:left="720"/>
      <w:contextualSpacing/>
    </w:pPr>
    <w:rPr>
      <w:rFonts w:ascii="Calibri" w:eastAsia="Times New Roman" w:hAnsi="Calibri" w:cs="Times New Roman"/>
      <w:sz w:val="20"/>
      <w:szCs w:val="20"/>
    </w:rPr>
  </w:style>
  <w:style w:type="character" w:customStyle="1" w:styleId="AkapitzlistZnak">
    <w:name w:val="Akapit z listą Znak"/>
    <w:aliases w:val="Akapit z listą BS Znak,Akapit z listą3 Znak,Akapit z listą31 Znak,Akapit z listą2 Znak"/>
    <w:link w:val="Akapitzlist"/>
    <w:uiPriority w:val="34"/>
    <w:locked/>
    <w:rsid w:val="00F32317"/>
    <w:rPr>
      <w:rFonts w:ascii="Calibri" w:eastAsia="Times New Roman" w:hAnsi="Calibri" w:cs="Times New Roman"/>
      <w:sz w:val="20"/>
      <w:szCs w:val="20"/>
    </w:rPr>
  </w:style>
  <w:style w:type="character" w:styleId="Hipercze">
    <w:name w:val="Hyperlink"/>
    <w:uiPriority w:val="99"/>
    <w:unhideWhenUsed/>
    <w:rsid w:val="00790A97"/>
    <w:rPr>
      <w:color w:val="0000FF"/>
      <w:u w:val="single"/>
    </w:rPr>
  </w:style>
  <w:style w:type="character" w:styleId="Odwoaniedokomentarza">
    <w:name w:val="annotation reference"/>
    <w:basedOn w:val="Domylnaczcionkaakapitu"/>
    <w:uiPriority w:val="99"/>
    <w:semiHidden/>
    <w:unhideWhenUsed/>
    <w:rsid w:val="007754AA"/>
    <w:rPr>
      <w:sz w:val="16"/>
      <w:szCs w:val="16"/>
    </w:rPr>
  </w:style>
  <w:style w:type="paragraph" w:styleId="Tekstkomentarza">
    <w:name w:val="annotation text"/>
    <w:basedOn w:val="Normalny"/>
    <w:link w:val="TekstkomentarzaZnak"/>
    <w:uiPriority w:val="99"/>
    <w:semiHidden/>
    <w:unhideWhenUsed/>
    <w:rsid w:val="007754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4AA"/>
    <w:rPr>
      <w:sz w:val="20"/>
      <w:szCs w:val="20"/>
    </w:rPr>
  </w:style>
  <w:style w:type="paragraph" w:styleId="Tematkomentarza">
    <w:name w:val="annotation subject"/>
    <w:basedOn w:val="Tekstkomentarza"/>
    <w:next w:val="Tekstkomentarza"/>
    <w:link w:val="TematkomentarzaZnak"/>
    <w:uiPriority w:val="99"/>
    <w:semiHidden/>
    <w:unhideWhenUsed/>
    <w:rsid w:val="007754AA"/>
    <w:rPr>
      <w:b/>
      <w:bCs/>
    </w:rPr>
  </w:style>
  <w:style w:type="character" w:customStyle="1" w:styleId="TematkomentarzaZnak">
    <w:name w:val="Temat komentarza Znak"/>
    <w:basedOn w:val="TekstkomentarzaZnak"/>
    <w:link w:val="Tematkomentarza"/>
    <w:uiPriority w:val="99"/>
    <w:semiHidden/>
    <w:rsid w:val="007754AA"/>
    <w:rPr>
      <w:b/>
      <w:bCs/>
      <w:sz w:val="20"/>
      <w:szCs w:val="20"/>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nhideWhenUsed/>
    <w:rsid w:val="007335DB"/>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7335DB"/>
    <w:rPr>
      <w:sz w:val="20"/>
      <w:szCs w:val="20"/>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basedOn w:val="Domylnaczcionkaakapitu"/>
    <w:unhideWhenUsed/>
    <w:rsid w:val="007335DB"/>
    <w:rPr>
      <w:vertAlign w:val="superscript"/>
    </w:rPr>
  </w:style>
  <w:style w:type="paragraph" w:styleId="Poprawka">
    <w:name w:val="Revision"/>
    <w:hidden/>
    <w:uiPriority w:val="99"/>
    <w:semiHidden/>
    <w:rsid w:val="00997070"/>
    <w:pPr>
      <w:spacing w:after="0" w:line="240" w:lineRule="auto"/>
    </w:pPr>
  </w:style>
  <w:style w:type="paragraph" w:customStyle="1" w:styleId="Default">
    <w:name w:val="Default"/>
    <w:rsid w:val="00957E5D"/>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694A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7666">
      <w:bodyDiv w:val="1"/>
      <w:marLeft w:val="0"/>
      <w:marRight w:val="0"/>
      <w:marTop w:val="0"/>
      <w:marBottom w:val="0"/>
      <w:divBdr>
        <w:top w:val="none" w:sz="0" w:space="0" w:color="auto"/>
        <w:left w:val="none" w:sz="0" w:space="0" w:color="auto"/>
        <w:bottom w:val="none" w:sz="0" w:space="0" w:color="auto"/>
        <w:right w:val="none" w:sz="0" w:space="0" w:color="auto"/>
      </w:divBdr>
    </w:div>
    <w:div w:id="75127388">
      <w:bodyDiv w:val="1"/>
      <w:marLeft w:val="0"/>
      <w:marRight w:val="0"/>
      <w:marTop w:val="0"/>
      <w:marBottom w:val="0"/>
      <w:divBdr>
        <w:top w:val="none" w:sz="0" w:space="0" w:color="auto"/>
        <w:left w:val="none" w:sz="0" w:space="0" w:color="auto"/>
        <w:bottom w:val="none" w:sz="0" w:space="0" w:color="auto"/>
        <w:right w:val="none" w:sz="0" w:space="0" w:color="auto"/>
      </w:divBdr>
    </w:div>
    <w:div w:id="85152873">
      <w:bodyDiv w:val="1"/>
      <w:marLeft w:val="0"/>
      <w:marRight w:val="0"/>
      <w:marTop w:val="0"/>
      <w:marBottom w:val="0"/>
      <w:divBdr>
        <w:top w:val="none" w:sz="0" w:space="0" w:color="auto"/>
        <w:left w:val="none" w:sz="0" w:space="0" w:color="auto"/>
        <w:bottom w:val="none" w:sz="0" w:space="0" w:color="auto"/>
        <w:right w:val="none" w:sz="0" w:space="0" w:color="auto"/>
      </w:divBdr>
    </w:div>
    <w:div w:id="97916815">
      <w:bodyDiv w:val="1"/>
      <w:marLeft w:val="0"/>
      <w:marRight w:val="0"/>
      <w:marTop w:val="0"/>
      <w:marBottom w:val="0"/>
      <w:divBdr>
        <w:top w:val="none" w:sz="0" w:space="0" w:color="auto"/>
        <w:left w:val="none" w:sz="0" w:space="0" w:color="auto"/>
        <w:bottom w:val="none" w:sz="0" w:space="0" w:color="auto"/>
        <w:right w:val="none" w:sz="0" w:space="0" w:color="auto"/>
      </w:divBdr>
    </w:div>
    <w:div w:id="111674754">
      <w:bodyDiv w:val="1"/>
      <w:marLeft w:val="0"/>
      <w:marRight w:val="0"/>
      <w:marTop w:val="0"/>
      <w:marBottom w:val="0"/>
      <w:divBdr>
        <w:top w:val="none" w:sz="0" w:space="0" w:color="auto"/>
        <w:left w:val="none" w:sz="0" w:space="0" w:color="auto"/>
        <w:bottom w:val="none" w:sz="0" w:space="0" w:color="auto"/>
        <w:right w:val="none" w:sz="0" w:space="0" w:color="auto"/>
      </w:divBdr>
    </w:div>
    <w:div w:id="113450022">
      <w:bodyDiv w:val="1"/>
      <w:marLeft w:val="0"/>
      <w:marRight w:val="0"/>
      <w:marTop w:val="0"/>
      <w:marBottom w:val="0"/>
      <w:divBdr>
        <w:top w:val="none" w:sz="0" w:space="0" w:color="auto"/>
        <w:left w:val="none" w:sz="0" w:space="0" w:color="auto"/>
        <w:bottom w:val="none" w:sz="0" w:space="0" w:color="auto"/>
        <w:right w:val="none" w:sz="0" w:space="0" w:color="auto"/>
      </w:divBdr>
    </w:div>
    <w:div w:id="136608831">
      <w:bodyDiv w:val="1"/>
      <w:marLeft w:val="0"/>
      <w:marRight w:val="0"/>
      <w:marTop w:val="0"/>
      <w:marBottom w:val="0"/>
      <w:divBdr>
        <w:top w:val="none" w:sz="0" w:space="0" w:color="auto"/>
        <w:left w:val="none" w:sz="0" w:space="0" w:color="auto"/>
        <w:bottom w:val="none" w:sz="0" w:space="0" w:color="auto"/>
        <w:right w:val="none" w:sz="0" w:space="0" w:color="auto"/>
      </w:divBdr>
    </w:div>
    <w:div w:id="144589201">
      <w:bodyDiv w:val="1"/>
      <w:marLeft w:val="0"/>
      <w:marRight w:val="0"/>
      <w:marTop w:val="0"/>
      <w:marBottom w:val="0"/>
      <w:divBdr>
        <w:top w:val="none" w:sz="0" w:space="0" w:color="auto"/>
        <w:left w:val="none" w:sz="0" w:space="0" w:color="auto"/>
        <w:bottom w:val="none" w:sz="0" w:space="0" w:color="auto"/>
        <w:right w:val="none" w:sz="0" w:space="0" w:color="auto"/>
      </w:divBdr>
    </w:div>
    <w:div w:id="195192080">
      <w:bodyDiv w:val="1"/>
      <w:marLeft w:val="0"/>
      <w:marRight w:val="0"/>
      <w:marTop w:val="0"/>
      <w:marBottom w:val="0"/>
      <w:divBdr>
        <w:top w:val="none" w:sz="0" w:space="0" w:color="auto"/>
        <w:left w:val="none" w:sz="0" w:space="0" w:color="auto"/>
        <w:bottom w:val="none" w:sz="0" w:space="0" w:color="auto"/>
        <w:right w:val="none" w:sz="0" w:space="0" w:color="auto"/>
      </w:divBdr>
    </w:div>
    <w:div w:id="197395986">
      <w:bodyDiv w:val="1"/>
      <w:marLeft w:val="0"/>
      <w:marRight w:val="0"/>
      <w:marTop w:val="0"/>
      <w:marBottom w:val="0"/>
      <w:divBdr>
        <w:top w:val="none" w:sz="0" w:space="0" w:color="auto"/>
        <w:left w:val="none" w:sz="0" w:space="0" w:color="auto"/>
        <w:bottom w:val="none" w:sz="0" w:space="0" w:color="auto"/>
        <w:right w:val="none" w:sz="0" w:space="0" w:color="auto"/>
      </w:divBdr>
    </w:div>
    <w:div w:id="224460971">
      <w:bodyDiv w:val="1"/>
      <w:marLeft w:val="0"/>
      <w:marRight w:val="0"/>
      <w:marTop w:val="0"/>
      <w:marBottom w:val="0"/>
      <w:divBdr>
        <w:top w:val="none" w:sz="0" w:space="0" w:color="auto"/>
        <w:left w:val="none" w:sz="0" w:space="0" w:color="auto"/>
        <w:bottom w:val="none" w:sz="0" w:space="0" w:color="auto"/>
        <w:right w:val="none" w:sz="0" w:space="0" w:color="auto"/>
      </w:divBdr>
    </w:div>
    <w:div w:id="258569433">
      <w:bodyDiv w:val="1"/>
      <w:marLeft w:val="0"/>
      <w:marRight w:val="0"/>
      <w:marTop w:val="0"/>
      <w:marBottom w:val="0"/>
      <w:divBdr>
        <w:top w:val="none" w:sz="0" w:space="0" w:color="auto"/>
        <w:left w:val="none" w:sz="0" w:space="0" w:color="auto"/>
        <w:bottom w:val="none" w:sz="0" w:space="0" w:color="auto"/>
        <w:right w:val="none" w:sz="0" w:space="0" w:color="auto"/>
      </w:divBdr>
    </w:div>
    <w:div w:id="291206553">
      <w:bodyDiv w:val="1"/>
      <w:marLeft w:val="0"/>
      <w:marRight w:val="0"/>
      <w:marTop w:val="0"/>
      <w:marBottom w:val="0"/>
      <w:divBdr>
        <w:top w:val="none" w:sz="0" w:space="0" w:color="auto"/>
        <w:left w:val="none" w:sz="0" w:space="0" w:color="auto"/>
        <w:bottom w:val="none" w:sz="0" w:space="0" w:color="auto"/>
        <w:right w:val="none" w:sz="0" w:space="0" w:color="auto"/>
      </w:divBdr>
    </w:div>
    <w:div w:id="327682101">
      <w:bodyDiv w:val="1"/>
      <w:marLeft w:val="0"/>
      <w:marRight w:val="0"/>
      <w:marTop w:val="0"/>
      <w:marBottom w:val="0"/>
      <w:divBdr>
        <w:top w:val="none" w:sz="0" w:space="0" w:color="auto"/>
        <w:left w:val="none" w:sz="0" w:space="0" w:color="auto"/>
        <w:bottom w:val="none" w:sz="0" w:space="0" w:color="auto"/>
        <w:right w:val="none" w:sz="0" w:space="0" w:color="auto"/>
      </w:divBdr>
    </w:div>
    <w:div w:id="331417591">
      <w:bodyDiv w:val="1"/>
      <w:marLeft w:val="0"/>
      <w:marRight w:val="0"/>
      <w:marTop w:val="0"/>
      <w:marBottom w:val="0"/>
      <w:divBdr>
        <w:top w:val="none" w:sz="0" w:space="0" w:color="auto"/>
        <w:left w:val="none" w:sz="0" w:space="0" w:color="auto"/>
        <w:bottom w:val="none" w:sz="0" w:space="0" w:color="auto"/>
        <w:right w:val="none" w:sz="0" w:space="0" w:color="auto"/>
      </w:divBdr>
    </w:div>
    <w:div w:id="333537231">
      <w:bodyDiv w:val="1"/>
      <w:marLeft w:val="0"/>
      <w:marRight w:val="0"/>
      <w:marTop w:val="0"/>
      <w:marBottom w:val="0"/>
      <w:divBdr>
        <w:top w:val="none" w:sz="0" w:space="0" w:color="auto"/>
        <w:left w:val="none" w:sz="0" w:space="0" w:color="auto"/>
        <w:bottom w:val="none" w:sz="0" w:space="0" w:color="auto"/>
        <w:right w:val="none" w:sz="0" w:space="0" w:color="auto"/>
      </w:divBdr>
    </w:div>
    <w:div w:id="345984735">
      <w:bodyDiv w:val="1"/>
      <w:marLeft w:val="0"/>
      <w:marRight w:val="0"/>
      <w:marTop w:val="0"/>
      <w:marBottom w:val="0"/>
      <w:divBdr>
        <w:top w:val="none" w:sz="0" w:space="0" w:color="auto"/>
        <w:left w:val="none" w:sz="0" w:space="0" w:color="auto"/>
        <w:bottom w:val="none" w:sz="0" w:space="0" w:color="auto"/>
        <w:right w:val="none" w:sz="0" w:space="0" w:color="auto"/>
      </w:divBdr>
    </w:div>
    <w:div w:id="383910475">
      <w:bodyDiv w:val="1"/>
      <w:marLeft w:val="0"/>
      <w:marRight w:val="0"/>
      <w:marTop w:val="0"/>
      <w:marBottom w:val="0"/>
      <w:divBdr>
        <w:top w:val="none" w:sz="0" w:space="0" w:color="auto"/>
        <w:left w:val="none" w:sz="0" w:space="0" w:color="auto"/>
        <w:bottom w:val="none" w:sz="0" w:space="0" w:color="auto"/>
        <w:right w:val="none" w:sz="0" w:space="0" w:color="auto"/>
      </w:divBdr>
    </w:div>
    <w:div w:id="398794010">
      <w:bodyDiv w:val="1"/>
      <w:marLeft w:val="0"/>
      <w:marRight w:val="0"/>
      <w:marTop w:val="0"/>
      <w:marBottom w:val="0"/>
      <w:divBdr>
        <w:top w:val="none" w:sz="0" w:space="0" w:color="auto"/>
        <w:left w:val="none" w:sz="0" w:space="0" w:color="auto"/>
        <w:bottom w:val="none" w:sz="0" w:space="0" w:color="auto"/>
        <w:right w:val="none" w:sz="0" w:space="0" w:color="auto"/>
      </w:divBdr>
    </w:div>
    <w:div w:id="408036811">
      <w:bodyDiv w:val="1"/>
      <w:marLeft w:val="0"/>
      <w:marRight w:val="0"/>
      <w:marTop w:val="0"/>
      <w:marBottom w:val="0"/>
      <w:divBdr>
        <w:top w:val="none" w:sz="0" w:space="0" w:color="auto"/>
        <w:left w:val="none" w:sz="0" w:space="0" w:color="auto"/>
        <w:bottom w:val="none" w:sz="0" w:space="0" w:color="auto"/>
        <w:right w:val="none" w:sz="0" w:space="0" w:color="auto"/>
      </w:divBdr>
    </w:div>
    <w:div w:id="421604663">
      <w:bodyDiv w:val="1"/>
      <w:marLeft w:val="0"/>
      <w:marRight w:val="0"/>
      <w:marTop w:val="0"/>
      <w:marBottom w:val="0"/>
      <w:divBdr>
        <w:top w:val="none" w:sz="0" w:space="0" w:color="auto"/>
        <w:left w:val="none" w:sz="0" w:space="0" w:color="auto"/>
        <w:bottom w:val="none" w:sz="0" w:space="0" w:color="auto"/>
        <w:right w:val="none" w:sz="0" w:space="0" w:color="auto"/>
      </w:divBdr>
    </w:div>
    <w:div w:id="437214984">
      <w:bodyDiv w:val="1"/>
      <w:marLeft w:val="0"/>
      <w:marRight w:val="0"/>
      <w:marTop w:val="0"/>
      <w:marBottom w:val="0"/>
      <w:divBdr>
        <w:top w:val="none" w:sz="0" w:space="0" w:color="auto"/>
        <w:left w:val="none" w:sz="0" w:space="0" w:color="auto"/>
        <w:bottom w:val="none" w:sz="0" w:space="0" w:color="auto"/>
        <w:right w:val="none" w:sz="0" w:space="0" w:color="auto"/>
      </w:divBdr>
    </w:div>
    <w:div w:id="446774473">
      <w:bodyDiv w:val="1"/>
      <w:marLeft w:val="0"/>
      <w:marRight w:val="0"/>
      <w:marTop w:val="0"/>
      <w:marBottom w:val="0"/>
      <w:divBdr>
        <w:top w:val="none" w:sz="0" w:space="0" w:color="auto"/>
        <w:left w:val="none" w:sz="0" w:space="0" w:color="auto"/>
        <w:bottom w:val="none" w:sz="0" w:space="0" w:color="auto"/>
        <w:right w:val="none" w:sz="0" w:space="0" w:color="auto"/>
      </w:divBdr>
    </w:div>
    <w:div w:id="448742196">
      <w:bodyDiv w:val="1"/>
      <w:marLeft w:val="0"/>
      <w:marRight w:val="0"/>
      <w:marTop w:val="0"/>
      <w:marBottom w:val="0"/>
      <w:divBdr>
        <w:top w:val="none" w:sz="0" w:space="0" w:color="auto"/>
        <w:left w:val="none" w:sz="0" w:space="0" w:color="auto"/>
        <w:bottom w:val="none" w:sz="0" w:space="0" w:color="auto"/>
        <w:right w:val="none" w:sz="0" w:space="0" w:color="auto"/>
      </w:divBdr>
    </w:div>
    <w:div w:id="455638035">
      <w:bodyDiv w:val="1"/>
      <w:marLeft w:val="0"/>
      <w:marRight w:val="0"/>
      <w:marTop w:val="0"/>
      <w:marBottom w:val="0"/>
      <w:divBdr>
        <w:top w:val="none" w:sz="0" w:space="0" w:color="auto"/>
        <w:left w:val="none" w:sz="0" w:space="0" w:color="auto"/>
        <w:bottom w:val="none" w:sz="0" w:space="0" w:color="auto"/>
        <w:right w:val="none" w:sz="0" w:space="0" w:color="auto"/>
      </w:divBdr>
    </w:div>
    <w:div w:id="490026802">
      <w:bodyDiv w:val="1"/>
      <w:marLeft w:val="0"/>
      <w:marRight w:val="0"/>
      <w:marTop w:val="0"/>
      <w:marBottom w:val="0"/>
      <w:divBdr>
        <w:top w:val="none" w:sz="0" w:space="0" w:color="auto"/>
        <w:left w:val="none" w:sz="0" w:space="0" w:color="auto"/>
        <w:bottom w:val="none" w:sz="0" w:space="0" w:color="auto"/>
        <w:right w:val="none" w:sz="0" w:space="0" w:color="auto"/>
      </w:divBdr>
    </w:div>
    <w:div w:id="501238617">
      <w:bodyDiv w:val="1"/>
      <w:marLeft w:val="0"/>
      <w:marRight w:val="0"/>
      <w:marTop w:val="0"/>
      <w:marBottom w:val="0"/>
      <w:divBdr>
        <w:top w:val="none" w:sz="0" w:space="0" w:color="auto"/>
        <w:left w:val="none" w:sz="0" w:space="0" w:color="auto"/>
        <w:bottom w:val="none" w:sz="0" w:space="0" w:color="auto"/>
        <w:right w:val="none" w:sz="0" w:space="0" w:color="auto"/>
      </w:divBdr>
    </w:div>
    <w:div w:id="501700006">
      <w:bodyDiv w:val="1"/>
      <w:marLeft w:val="0"/>
      <w:marRight w:val="0"/>
      <w:marTop w:val="0"/>
      <w:marBottom w:val="0"/>
      <w:divBdr>
        <w:top w:val="none" w:sz="0" w:space="0" w:color="auto"/>
        <w:left w:val="none" w:sz="0" w:space="0" w:color="auto"/>
        <w:bottom w:val="none" w:sz="0" w:space="0" w:color="auto"/>
        <w:right w:val="none" w:sz="0" w:space="0" w:color="auto"/>
      </w:divBdr>
    </w:div>
    <w:div w:id="505554487">
      <w:bodyDiv w:val="1"/>
      <w:marLeft w:val="0"/>
      <w:marRight w:val="0"/>
      <w:marTop w:val="0"/>
      <w:marBottom w:val="0"/>
      <w:divBdr>
        <w:top w:val="none" w:sz="0" w:space="0" w:color="auto"/>
        <w:left w:val="none" w:sz="0" w:space="0" w:color="auto"/>
        <w:bottom w:val="none" w:sz="0" w:space="0" w:color="auto"/>
        <w:right w:val="none" w:sz="0" w:space="0" w:color="auto"/>
      </w:divBdr>
    </w:div>
    <w:div w:id="516385763">
      <w:bodyDiv w:val="1"/>
      <w:marLeft w:val="0"/>
      <w:marRight w:val="0"/>
      <w:marTop w:val="0"/>
      <w:marBottom w:val="0"/>
      <w:divBdr>
        <w:top w:val="none" w:sz="0" w:space="0" w:color="auto"/>
        <w:left w:val="none" w:sz="0" w:space="0" w:color="auto"/>
        <w:bottom w:val="none" w:sz="0" w:space="0" w:color="auto"/>
        <w:right w:val="none" w:sz="0" w:space="0" w:color="auto"/>
      </w:divBdr>
    </w:div>
    <w:div w:id="529269874">
      <w:bodyDiv w:val="1"/>
      <w:marLeft w:val="0"/>
      <w:marRight w:val="0"/>
      <w:marTop w:val="0"/>
      <w:marBottom w:val="0"/>
      <w:divBdr>
        <w:top w:val="none" w:sz="0" w:space="0" w:color="auto"/>
        <w:left w:val="none" w:sz="0" w:space="0" w:color="auto"/>
        <w:bottom w:val="none" w:sz="0" w:space="0" w:color="auto"/>
        <w:right w:val="none" w:sz="0" w:space="0" w:color="auto"/>
      </w:divBdr>
    </w:div>
    <w:div w:id="530580935">
      <w:bodyDiv w:val="1"/>
      <w:marLeft w:val="0"/>
      <w:marRight w:val="0"/>
      <w:marTop w:val="0"/>
      <w:marBottom w:val="0"/>
      <w:divBdr>
        <w:top w:val="none" w:sz="0" w:space="0" w:color="auto"/>
        <w:left w:val="none" w:sz="0" w:space="0" w:color="auto"/>
        <w:bottom w:val="none" w:sz="0" w:space="0" w:color="auto"/>
        <w:right w:val="none" w:sz="0" w:space="0" w:color="auto"/>
      </w:divBdr>
    </w:div>
    <w:div w:id="533856761">
      <w:bodyDiv w:val="1"/>
      <w:marLeft w:val="0"/>
      <w:marRight w:val="0"/>
      <w:marTop w:val="0"/>
      <w:marBottom w:val="0"/>
      <w:divBdr>
        <w:top w:val="none" w:sz="0" w:space="0" w:color="auto"/>
        <w:left w:val="none" w:sz="0" w:space="0" w:color="auto"/>
        <w:bottom w:val="none" w:sz="0" w:space="0" w:color="auto"/>
        <w:right w:val="none" w:sz="0" w:space="0" w:color="auto"/>
      </w:divBdr>
    </w:div>
    <w:div w:id="553274366">
      <w:bodyDiv w:val="1"/>
      <w:marLeft w:val="0"/>
      <w:marRight w:val="0"/>
      <w:marTop w:val="0"/>
      <w:marBottom w:val="0"/>
      <w:divBdr>
        <w:top w:val="none" w:sz="0" w:space="0" w:color="auto"/>
        <w:left w:val="none" w:sz="0" w:space="0" w:color="auto"/>
        <w:bottom w:val="none" w:sz="0" w:space="0" w:color="auto"/>
        <w:right w:val="none" w:sz="0" w:space="0" w:color="auto"/>
      </w:divBdr>
    </w:div>
    <w:div w:id="588659560">
      <w:bodyDiv w:val="1"/>
      <w:marLeft w:val="0"/>
      <w:marRight w:val="0"/>
      <w:marTop w:val="0"/>
      <w:marBottom w:val="0"/>
      <w:divBdr>
        <w:top w:val="none" w:sz="0" w:space="0" w:color="auto"/>
        <w:left w:val="none" w:sz="0" w:space="0" w:color="auto"/>
        <w:bottom w:val="none" w:sz="0" w:space="0" w:color="auto"/>
        <w:right w:val="none" w:sz="0" w:space="0" w:color="auto"/>
      </w:divBdr>
    </w:div>
    <w:div w:id="657685777">
      <w:bodyDiv w:val="1"/>
      <w:marLeft w:val="0"/>
      <w:marRight w:val="0"/>
      <w:marTop w:val="0"/>
      <w:marBottom w:val="0"/>
      <w:divBdr>
        <w:top w:val="none" w:sz="0" w:space="0" w:color="auto"/>
        <w:left w:val="none" w:sz="0" w:space="0" w:color="auto"/>
        <w:bottom w:val="none" w:sz="0" w:space="0" w:color="auto"/>
        <w:right w:val="none" w:sz="0" w:space="0" w:color="auto"/>
      </w:divBdr>
    </w:div>
    <w:div w:id="661159314">
      <w:bodyDiv w:val="1"/>
      <w:marLeft w:val="0"/>
      <w:marRight w:val="0"/>
      <w:marTop w:val="0"/>
      <w:marBottom w:val="0"/>
      <w:divBdr>
        <w:top w:val="none" w:sz="0" w:space="0" w:color="auto"/>
        <w:left w:val="none" w:sz="0" w:space="0" w:color="auto"/>
        <w:bottom w:val="none" w:sz="0" w:space="0" w:color="auto"/>
        <w:right w:val="none" w:sz="0" w:space="0" w:color="auto"/>
      </w:divBdr>
    </w:div>
    <w:div w:id="670570145">
      <w:bodyDiv w:val="1"/>
      <w:marLeft w:val="0"/>
      <w:marRight w:val="0"/>
      <w:marTop w:val="0"/>
      <w:marBottom w:val="0"/>
      <w:divBdr>
        <w:top w:val="none" w:sz="0" w:space="0" w:color="auto"/>
        <w:left w:val="none" w:sz="0" w:space="0" w:color="auto"/>
        <w:bottom w:val="none" w:sz="0" w:space="0" w:color="auto"/>
        <w:right w:val="none" w:sz="0" w:space="0" w:color="auto"/>
      </w:divBdr>
    </w:div>
    <w:div w:id="727922196">
      <w:bodyDiv w:val="1"/>
      <w:marLeft w:val="0"/>
      <w:marRight w:val="0"/>
      <w:marTop w:val="0"/>
      <w:marBottom w:val="0"/>
      <w:divBdr>
        <w:top w:val="none" w:sz="0" w:space="0" w:color="auto"/>
        <w:left w:val="none" w:sz="0" w:space="0" w:color="auto"/>
        <w:bottom w:val="none" w:sz="0" w:space="0" w:color="auto"/>
        <w:right w:val="none" w:sz="0" w:space="0" w:color="auto"/>
      </w:divBdr>
    </w:div>
    <w:div w:id="739061422">
      <w:bodyDiv w:val="1"/>
      <w:marLeft w:val="0"/>
      <w:marRight w:val="0"/>
      <w:marTop w:val="0"/>
      <w:marBottom w:val="0"/>
      <w:divBdr>
        <w:top w:val="none" w:sz="0" w:space="0" w:color="auto"/>
        <w:left w:val="none" w:sz="0" w:space="0" w:color="auto"/>
        <w:bottom w:val="none" w:sz="0" w:space="0" w:color="auto"/>
        <w:right w:val="none" w:sz="0" w:space="0" w:color="auto"/>
      </w:divBdr>
    </w:div>
    <w:div w:id="769818395">
      <w:bodyDiv w:val="1"/>
      <w:marLeft w:val="0"/>
      <w:marRight w:val="0"/>
      <w:marTop w:val="0"/>
      <w:marBottom w:val="0"/>
      <w:divBdr>
        <w:top w:val="none" w:sz="0" w:space="0" w:color="auto"/>
        <w:left w:val="none" w:sz="0" w:space="0" w:color="auto"/>
        <w:bottom w:val="none" w:sz="0" w:space="0" w:color="auto"/>
        <w:right w:val="none" w:sz="0" w:space="0" w:color="auto"/>
      </w:divBdr>
    </w:div>
    <w:div w:id="772018607">
      <w:bodyDiv w:val="1"/>
      <w:marLeft w:val="0"/>
      <w:marRight w:val="0"/>
      <w:marTop w:val="0"/>
      <w:marBottom w:val="0"/>
      <w:divBdr>
        <w:top w:val="none" w:sz="0" w:space="0" w:color="auto"/>
        <w:left w:val="none" w:sz="0" w:space="0" w:color="auto"/>
        <w:bottom w:val="none" w:sz="0" w:space="0" w:color="auto"/>
        <w:right w:val="none" w:sz="0" w:space="0" w:color="auto"/>
      </w:divBdr>
    </w:div>
    <w:div w:id="779301350">
      <w:bodyDiv w:val="1"/>
      <w:marLeft w:val="0"/>
      <w:marRight w:val="0"/>
      <w:marTop w:val="0"/>
      <w:marBottom w:val="0"/>
      <w:divBdr>
        <w:top w:val="none" w:sz="0" w:space="0" w:color="auto"/>
        <w:left w:val="none" w:sz="0" w:space="0" w:color="auto"/>
        <w:bottom w:val="none" w:sz="0" w:space="0" w:color="auto"/>
        <w:right w:val="none" w:sz="0" w:space="0" w:color="auto"/>
      </w:divBdr>
    </w:div>
    <w:div w:id="791435276">
      <w:bodyDiv w:val="1"/>
      <w:marLeft w:val="0"/>
      <w:marRight w:val="0"/>
      <w:marTop w:val="0"/>
      <w:marBottom w:val="0"/>
      <w:divBdr>
        <w:top w:val="none" w:sz="0" w:space="0" w:color="auto"/>
        <w:left w:val="none" w:sz="0" w:space="0" w:color="auto"/>
        <w:bottom w:val="none" w:sz="0" w:space="0" w:color="auto"/>
        <w:right w:val="none" w:sz="0" w:space="0" w:color="auto"/>
      </w:divBdr>
    </w:div>
    <w:div w:id="810294082">
      <w:bodyDiv w:val="1"/>
      <w:marLeft w:val="0"/>
      <w:marRight w:val="0"/>
      <w:marTop w:val="0"/>
      <w:marBottom w:val="0"/>
      <w:divBdr>
        <w:top w:val="none" w:sz="0" w:space="0" w:color="auto"/>
        <w:left w:val="none" w:sz="0" w:space="0" w:color="auto"/>
        <w:bottom w:val="none" w:sz="0" w:space="0" w:color="auto"/>
        <w:right w:val="none" w:sz="0" w:space="0" w:color="auto"/>
      </w:divBdr>
    </w:div>
    <w:div w:id="834538980">
      <w:bodyDiv w:val="1"/>
      <w:marLeft w:val="0"/>
      <w:marRight w:val="0"/>
      <w:marTop w:val="0"/>
      <w:marBottom w:val="0"/>
      <w:divBdr>
        <w:top w:val="none" w:sz="0" w:space="0" w:color="auto"/>
        <w:left w:val="none" w:sz="0" w:space="0" w:color="auto"/>
        <w:bottom w:val="none" w:sz="0" w:space="0" w:color="auto"/>
        <w:right w:val="none" w:sz="0" w:space="0" w:color="auto"/>
      </w:divBdr>
    </w:div>
    <w:div w:id="837691885">
      <w:bodyDiv w:val="1"/>
      <w:marLeft w:val="0"/>
      <w:marRight w:val="0"/>
      <w:marTop w:val="0"/>
      <w:marBottom w:val="0"/>
      <w:divBdr>
        <w:top w:val="none" w:sz="0" w:space="0" w:color="auto"/>
        <w:left w:val="none" w:sz="0" w:space="0" w:color="auto"/>
        <w:bottom w:val="none" w:sz="0" w:space="0" w:color="auto"/>
        <w:right w:val="none" w:sz="0" w:space="0" w:color="auto"/>
      </w:divBdr>
    </w:div>
    <w:div w:id="875194464">
      <w:bodyDiv w:val="1"/>
      <w:marLeft w:val="0"/>
      <w:marRight w:val="0"/>
      <w:marTop w:val="0"/>
      <w:marBottom w:val="0"/>
      <w:divBdr>
        <w:top w:val="none" w:sz="0" w:space="0" w:color="auto"/>
        <w:left w:val="none" w:sz="0" w:space="0" w:color="auto"/>
        <w:bottom w:val="none" w:sz="0" w:space="0" w:color="auto"/>
        <w:right w:val="none" w:sz="0" w:space="0" w:color="auto"/>
      </w:divBdr>
    </w:div>
    <w:div w:id="924338104">
      <w:bodyDiv w:val="1"/>
      <w:marLeft w:val="0"/>
      <w:marRight w:val="0"/>
      <w:marTop w:val="0"/>
      <w:marBottom w:val="0"/>
      <w:divBdr>
        <w:top w:val="none" w:sz="0" w:space="0" w:color="auto"/>
        <w:left w:val="none" w:sz="0" w:space="0" w:color="auto"/>
        <w:bottom w:val="none" w:sz="0" w:space="0" w:color="auto"/>
        <w:right w:val="none" w:sz="0" w:space="0" w:color="auto"/>
      </w:divBdr>
    </w:div>
    <w:div w:id="936444943">
      <w:bodyDiv w:val="1"/>
      <w:marLeft w:val="0"/>
      <w:marRight w:val="0"/>
      <w:marTop w:val="0"/>
      <w:marBottom w:val="0"/>
      <w:divBdr>
        <w:top w:val="none" w:sz="0" w:space="0" w:color="auto"/>
        <w:left w:val="none" w:sz="0" w:space="0" w:color="auto"/>
        <w:bottom w:val="none" w:sz="0" w:space="0" w:color="auto"/>
        <w:right w:val="none" w:sz="0" w:space="0" w:color="auto"/>
      </w:divBdr>
    </w:div>
    <w:div w:id="947547314">
      <w:bodyDiv w:val="1"/>
      <w:marLeft w:val="0"/>
      <w:marRight w:val="0"/>
      <w:marTop w:val="0"/>
      <w:marBottom w:val="0"/>
      <w:divBdr>
        <w:top w:val="none" w:sz="0" w:space="0" w:color="auto"/>
        <w:left w:val="none" w:sz="0" w:space="0" w:color="auto"/>
        <w:bottom w:val="none" w:sz="0" w:space="0" w:color="auto"/>
        <w:right w:val="none" w:sz="0" w:space="0" w:color="auto"/>
      </w:divBdr>
    </w:div>
    <w:div w:id="949355287">
      <w:bodyDiv w:val="1"/>
      <w:marLeft w:val="0"/>
      <w:marRight w:val="0"/>
      <w:marTop w:val="0"/>
      <w:marBottom w:val="0"/>
      <w:divBdr>
        <w:top w:val="none" w:sz="0" w:space="0" w:color="auto"/>
        <w:left w:val="none" w:sz="0" w:space="0" w:color="auto"/>
        <w:bottom w:val="none" w:sz="0" w:space="0" w:color="auto"/>
        <w:right w:val="none" w:sz="0" w:space="0" w:color="auto"/>
      </w:divBdr>
    </w:div>
    <w:div w:id="970356521">
      <w:bodyDiv w:val="1"/>
      <w:marLeft w:val="0"/>
      <w:marRight w:val="0"/>
      <w:marTop w:val="0"/>
      <w:marBottom w:val="0"/>
      <w:divBdr>
        <w:top w:val="none" w:sz="0" w:space="0" w:color="auto"/>
        <w:left w:val="none" w:sz="0" w:space="0" w:color="auto"/>
        <w:bottom w:val="none" w:sz="0" w:space="0" w:color="auto"/>
        <w:right w:val="none" w:sz="0" w:space="0" w:color="auto"/>
      </w:divBdr>
    </w:div>
    <w:div w:id="981230921">
      <w:bodyDiv w:val="1"/>
      <w:marLeft w:val="0"/>
      <w:marRight w:val="0"/>
      <w:marTop w:val="0"/>
      <w:marBottom w:val="0"/>
      <w:divBdr>
        <w:top w:val="none" w:sz="0" w:space="0" w:color="auto"/>
        <w:left w:val="none" w:sz="0" w:space="0" w:color="auto"/>
        <w:bottom w:val="none" w:sz="0" w:space="0" w:color="auto"/>
        <w:right w:val="none" w:sz="0" w:space="0" w:color="auto"/>
      </w:divBdr>
    </w:div>
    <w:div w:id="982124062">
      <w:bodyDiv w:val="1"/>
      <w:marLeft w:val="0"/>
      <w:marRight w:val="0"/>
      <w:marTop w:val="0"/>
      <w:marBottom w:val="0"/>
      <w:divBdr>
        <w:top w:val="none" w:sz="0" w:space="0" w:color="auto"/>
        <w:left w:val="none" w:sz="0" w:space="0" w:color="auto"/>
        <w:bottom w:val="none" w:sz="0" w:space="0" w:color="auto"/>
        <w:right w:val="none" w:sz="0" w:space="0" w:color="auto"/>
      </w:divBdr>
    </w:div>
    <w:div w:id="991248920">
      <w:bodyDiv w:val="1"/>
      <w:marLeft w:val="0"/>
      <w:marRight w:val="0"/>
      <w:marTop w:val="0"/>
      <w:marBottom w:val="0"/>
      <w:divBdr>
        <w:top w:val="none" w:sz="0" w:space="0" w:color="auto"/>
        <w:left w:val="none" w:sz="0" w:space="0" w:color="auto"/>
        <w:bottom w:val="none" w:sz="0" w:space="0" w:color="auto"/>
        <w:right w:val="none" w:sz="0" w:space="0" w:color="auto"/>
      </w:divBdr>
    </w:div>
    <w:div w:id="1014846483">
      <w:bodyDiv w:val="1"/>
      <w:marLeft w:val="0"/>
      <w:marRight w:val="0"/>
      <w:marTop w:val="0"/>
      <w:marBottom w:val="0"/>
      <w:divBdr>
        <w:top w:val="none" w:sz="0" w:space="0" w:color="auto"/>
        <w:left w:val="none" w:sz="0" w:space="0" w:color="auto"/>
        <w:bottom w:val="none" w:sz="0" w:space="0" w:color="auto"/>
        <w:right w:val="none" w:sz="0" w:space="0" w:color="auto"/>
      </w:divBdr>
    </w:div>
    <w:div w:id="1041248880">
      <w:bodyDiv w:val="1"/>
      <w:marLeft w:val="0"/>
      <w:marRight w:val="0"/>
      <w:marTop w:val="0"/>
      <w:marBottom w:val="0"/>
      <w:divBdr>
        <w:top w:val="none" w:sz="0" w:space="0" w:color="auto"/>
        <w:left w:val="none" w:sz="0" w:space="0" w:color="auto"/>
        <w:bottom w:val="none" w:sz="0" w:space="0" w:color="auto"/>
        <w:right w:val="none" w:sz="0" w:space="0" w:color="auto"/>
      </w:divBdr>
    </w:div>
    <w:div w:id="1059749588">
      <w:bodyDiv w:val="1"/>
      <w:marLeft w:val="0"/>
      <w:marRight w:val="0"/>
      <w:marTop w:val="0"/>
      <w:marBottom w:val="0"/>
      <w:divBdr>
        <w:top w:val="none" w:sz="0" w:space="0" w:color="auto"/>
        <w:left w:val="none" w:sz="0" w:space="0" w:color="auto"/>
        <w:bottom w:val="none" w:sz="0" w:space="0" w:color="auto"/>
        <w:right w:val="none" w:sz="0" w:space="0" w:color="auto"/>
      </w:divBdr>
    </w:div>
    <w:div w:id="1067650956">
      <w:bodyDiv w:val="1"/>
      <w:marLeft w:val="0"/>
      <w:marRight w:val="0"/>
      <w:marTop w:val="0"/>
      <w:marBottom w:val="0"/>
      <w:divBdr>
        <w:top w:val="none" w:sz="0" w:space="0" w:color="auto"/>
        <w:left w:val="none" w:sz="0" w:space="0" w:color="auto"/>
        <w:bottom w:val="none" w:sz="0" w:space="0" w:color="auto"/>
        <w:right w:val="none" w:sz="0" w:space="0" w:color="auto"/>
      </w:divBdr>
    </w:div>
    <w:div w:id="1075012451">
      <w:bodyDiv w:val="1"/>
      <w:marLeft w:val="0"/>
      <w:marRight w:val="0"/>
      <w:marTop w:val="0"/>
      <w:marBottom w:val="0"/>
      <w:divBdr>
        <w:top w:val="none" w:sz="0" w:space="0" w:color="auto"/>
        <w:left w:val="none" w:sz="0" w:space="0" w:color="auto"/>
        <w:bottom w:val="none" w:sz="0" w:space="0" w:color="auto"/>
        <w:right w:val="none" w:sz="0" w:space="0" w:color="auto"/>
      </w:divBdr>
    </w:div>
    <w:div w:id="1120493375">
      <w:bodyDiv w:val="1"/>
      <w:marLeft w:val="0"/>
      <w:marRight w:val="0"/>
      <w:marTop w:val="0"/>
      <w:marBottom w:val="0"/>
      <w:divBdr>
        <w:top w:val="none" w:sz="0" w:space="0" w:color="auto"/>
        <w:left w:val="none" w:sz="0" w:space="0" w:color="auto"/>
        <w:bottom w:val="none" w:sz="0" w:space="0" w:color="auto"/>
        <w:right w:val="none" w:sz="0" w:space="0" w:color="auto"/>
      </w:divBdr>
    </w:div>
    <w:div w:id="1122649790">
      <w:bodyDiv w:val="1"/>
      <w:marLeft w:val="0"/>
      <w:marRight w:val="0"/>
      <w:marTop w:val="0"/>
      <w:marBottom w:val="0"/>
      <w:divBdr>
        <w:top w:val="none" w:sz="0" w:space="0" w:color="auto"/>
        <w:left w:val="none" w:sz="0" w:space="0" w:color="auto"/>
        <w:bottom w:val="none" w:sz="0" w:space="0" w:color="auto"/>
        <w:right w:val="none" w:sz="0" w:space="0" w:color="auto"/>
      </w:divBdr>
    </w:div>
    <w:div w:id="1129278796">
      <w:bodyDiv w:val="1"/>
      <w:marLeft w:val="0"/>
      <w:marRight w:val="0"/>
      <w:marTop w:val="0"/>
      <w:marBottom w:val="0"/>
      <w:divBdr>
        <w:top w:val="none" w:sz="0" w:space="0" w:color="auto"/>
        <w:left w:val="none" w:sz="0" w:space="0" w:color="auto"/>
        <w:bottom w:val="none" w:sz="0" w:space="0" w:color="auto"/>
        <w:right w:val="none" w:sz="0" w:space="0" w:color="auto"/>
      </w:divBdr>
    </w:div>
    <w:div w:id="1164199024">
      <w:bodyDiv w:val="1"/>
      <w:marLeft w:val="0"/>
      <w:marRight w:val="0"/>
      <w:marTop w:val="0"/>
      <w:marBottom w:val="0"/>
      <w:divBdr>
        <w:top w:val="none" w:sz="0" w:space="0" w:color="auto"/>
        <w:left w:val="none" w:sz="0" w:space="0" w:color="auto"/>
        <w:bottom w:val="none" w:sz="0" w:space="0" w:color="auto"/>
        <w:right w:val="none" w:sz="0" w:space="0" w:color="auto"/>
      </w:divBdr>
    </w:div>
    <w:div w:id="1200625328">
      <w:bodyDiv w:val="1"/>
      <w:marLeft w:val="0"/>
      <w:marRight w:val="0"/>
      <w:marTop w:val="0"/>
      <w:marBottom w:val="0"/>
      <w:divBdr>
        <w:top w:val="none" w:sz="0" w:space="0" w:color="auto"/>
        <w:left w:val="none" w:sz="0" w:space="0" w:color="auto"/>
        <w:bottom w:val="none" w:sz="0" w:space="0" w:color="auto"/>
        <w:right w:val="none" w:sz="0" w:space="0" w:color="auto"/>
      </w:divBdr>
    </w:div>
    <w:div w:id="1237669982">
      <w:bodyDiv w:val="1"/>
      <w:marLeft w:val="0"/>
      <w:marRight w:val="0"/>
      <w:marTop w:val="0"/>
      <w:marBottom w:val="0"/>
      <w:divBdr>
        <w:top w:val="none" w:sz="0" w:space="0" w:color="auto"/>
        <w:left w:val="none" w:sz="0" w:space="0" w:color="auto"/>
        <w:bottom w:val="none" w:sz="0" w:space="0" w:color="auto"/>
        <w:right w:val="none" w:sz="0" w:space="0" w:color="auto"/>
      </w:divBdr>
    </w:div>
    <w:div w:id="1247034319">
      <w:bodyDiv w:val="1"/>
      <w:marLeft w:val="0"/>
      <w:marRight w:val="0"/>
      <w:marTop w:val="0"/>
      <w:marBottom w:val="0"/>
      <w:divBdr>
        <w:top w:val="none" w:sz="0" w:space="0" w:color="auto"/>
        <w:left w:val="none" w:sz="0" w:space="0" w:color="auto"/>
        <w:bottom w:val="none" w:sz="0" w:space="0" w:color="auto"/>
        <w:right w:val="none" w:sz="0" w:space="0" w:color="auto"/>
      </w:divBdr>
    </w:div>
    <w:div w:id="1272279740">
      <w:bodyDiv w:val="1"/>
      <w:marLeft w:val="0"/>
      <w:marRight w:val="0"/>
      <w:marTop w:val="0"/>
      <w:marBottom w:val="0"/>
      <w:divBdr>
        <w:top w:val="none" w:sz="0" w:space="0" w:color="auto"/>
        <w:left w:val="none" w:sz="0" w:space="0" w:color="auto"/>
        <w:bottom w:val="none" w:sz="0" w:space="0" w:color="auto"/>
        <w:right w:val="none" w:sz="0" w:space="0" w:color="auto"/>
      </w:divBdr>
    </w:div>
    <w:div w:id="1302727603">
      <w:bodyDiv w:val="1"/>
      <w:marLeft w:val="0"/>
      <w:marRight w:val="0"/>
      <w:marTop w:val="0"/>
      <w:marBottom w:val="0"/>
      <w:divBdr>
        <w:top w:val="none" w:sz="0" w:space="0" w:color="auto"/>
        <w:left w:val="none" w:sz="0" w:space="0" w:color="auto"/>
        <w:bottom w:val="none" w:sz="0" w:space="0" w:color="auto"/>
        <w:right w:val="none" w:sz="0" w:space="0" w:color="auto"/>
      </w:divBdr>
    </w:div>
    <w:div w:id="1314066695">
      <w:bodyDiv w:val="1"/>
      <w:marLeft w:val="0"/>
      <w:marRight w:val="0"/>
      <w:marTop w:val="0"/>
      <w:marBottom w:val="0"/>
      <w:divBdr>
        <w:top w:val="none" w:sz="0" w:space="0" w:color="auto"/>
        <w:left w:val="none" w:sz="0" w:space="0" w:color="auto"/>
        <w:bottom w:val="none" w:sz="0" w:space="0" w:color="auto"/>
        <w:right w:val="none" w:sz="0" w:space="0" w:color="auto"/>
      </w:divBdr>
    </w:div>
    <w:div w:id="1318604790">
      <w:bodyDiv w:val="1"/>
      <w:marLeft w:val="0"/>
      <w:marRight w:val="0"/>
      <w:marTop w:val="0"/>
      <w:marBottom w:val="0"/>
      <w:divBdr>
        <w:top w:val="none" w:sz="0" w:space="0" w:color="auto"/>
        <w:left w:val="none" w:sz="0" w:space="0" w:color="auto"/>
        <w:bottom w:val="none" w:sz="0" w:space="0" w:color="auto"/>
        <w:right w:val="none" w:sz="0" w:space="0" w:color="auto"/>
      </w:divBdr>
    </w:div>
    <w:div w:id="1340153446">
      <w:bodyDiv w:val="1"/>
      <w:marLeft w:val="0"/>
      <w:marRight w:val="0"/>
      <w:marTop w:val="0"/>
      <w:marBottom w:val="0"/>
      <w:divBdr>
        <w:top w:val="none" w:sz="0" w:space="0" w:color="auto"/>
        <w:left w:val="none" w:sz="0" w:space="0" w:color="auto"/>
        <w:bottom w:val="none" w:sz="0" w:space="0" w:color="auto"/>
        <w:right w:val="none" w:sz="0" w:space="0" w:color="auto"/>
      </w:divBdr>
    </w:div>
    <w:div w:id="1356151388">
      <w:bodyDiv w:val="1"/>
      <w:marLeft w:val="0"/>
      <w:marRight w:val="0"/>
      <w:marTop w:val="0"/>
      <w:marBottom w:val="0"/>
      <w:divBdr>
        <w:top w:val="none" w:sz="0" w:space="0" w:color="auto"/>
        <w:left w:val="none" w:sz="0" w:space="0" w:color="auto"/>
        <w:bottom w:val="none" w:sz="0" w:space="0" w:color="auto"/>
        <w:right w:val="none" w:sz="0" w:space="0" w:color="auto"/>
      </w:divBdr>
    </w:div>
    <w:div w:id="1364018808">
      <w:bodyDiv w:val="1"/>
      <w:marLeft w:val="0"/>
      <w:marRight w:val="0"/>
      <w:marTop w:val="0"/>
      <w:marBottom w:val="0"/>
      <w:divBdr>
        <w:top w:val="none" w:sz="0" w:space="0" w:color="auto"/>
        <w:left w:val="none" w:sz="0" w:space="0" w:color="auto"/>
        <w:bottom w:val="none" w:sz="0" w:space="0" w:color="auto"/>
        <w:right w:val="none" w:sz="0" w:space="0" w:color="auto"/>
      </w:divBdr>
    </w:div>
    <w:div w:id="1373647893">
      <w:bodyDiv w:val="1"/>
      <w:marLeft w:val="0"/>
      <w:marRight w:val="0"/>
      <w:marTop w:val="0"/>
      <w:marBottom w:val="0"/>
      <w:divBdr>
        <w:top w:val="none" w:sz="0" w:space="0" w:color="auto"/>
        <w:left w:val="none" w:sz="0" w:space="0" w:color="auto"/>
        <w:bottom w:val="none" w:sz="0" w:space="0" w:color="auto"/>
        <w:right w:val="none" w:sz="0" w:space="0" w:color="auto"/>
      </w:divBdr>
    </w:div>
    <w:div w:id="1402210558">
      <w:bodyDiv w:val="1"/>
      <w:marLeft w:val="0"/>
      <w:marRight w:val="0"/>
      <w:marTop w:val="0"/>
      <w:marBottom w:val="0"/>
      <w:divBdr>
        <w:top w:val="none" w:sz="0" w:space="0" w:color="auto"/>
        <w:left w:val="none" w:sz="0" w:space="0" w:color="auto"/>
        <w:bottom w:val="none" w:sz="0" w:space="0" w:color="auto"/>
        <w:right w:val="none" w:sz="0" w:space="0" w:color="auto"/>
      </w:divBdr>
    </w:div>
    <w:div w:id="1412386522">
      <w:bodyDiv w:val="1"/>
      <w:marLeft w:val="0"/>
      <w:marRight w:val="0"/>
      <w:marTop w:val="0"/>
      <w:marBottom w:val="0"/>
      <w:divBdr>
        <w:top w:val="none" w:sz="0" w:space="0" w:color="auto"/>
        <w:left w:val="none" w:sz="0" w:space="0" w:color="auto"/>
        <w:bottom w:val="none" w:sz="0" w:space="0" w:color="auto"/>
        <w:right w:val="none" w:sz="0" w:space="0" w:color="auto"/>
      </w:divBdr>
    </w:div>
    <w:div w:id="1429235724">
      <w:bodyDiv w:val="1"/>
      <w:marLeft w:val="0"/>
      <w:marRight w:val="0"/>
      <w:marTop w:val="0"/>
      <w:marBottom w:val="0"/>
      <w:divBdr>
        <w:top w:val="none" w:sz="0" w:space="0" w:color="auto"/>
        <w:left w:val="none" w:sz="0" w:space="0" w:color="auto"/>
        <w:bottom w:val="none" w:sz="0" w:space="0" w:color="auto"/>
        <w:right w:val="none" w:sz="0" w:space="0" w:color="auto"/>
      </w:divBdr>
    </w:div>
    <w:div w:id="1436243497">
      <w:bodyDiv w:val="1"/>
      <w:marLeft w:val="0"/>
      <w:marRight w:val="0"/>
      <w:marTop w:val="0"/>
      <w:marBottom w:val="0"/>
      <w:divBdr>
        <w:top w:val="none" w:sz="0" w:space="0" w:color="auto"/>
        <w:left w:val="none" w:sz="0" w:space="0" w:color="auto"/>
        <w:bottom w:val="none" w:sz="0" w:space="0" w:color="auto"/>
        <w:right w:val="none" w:sz="0" w:space="0" w:color="auto"/>
      </w:divBdr>
    </w:div>
    <w:div w:id="1438481261">
      <w:bodyDiv w:val="1"/>
      <w:marLeft w:val="0"/>
      <w:marRight w:val="0"/>
      <w:marTop w:val="0"/>
      <w:marBottom w:val="0"/>
      <w:divBdr>
        <w:top w:val="none" w:sz="0" w:space="0" w:color="auto"/>
        <w:left w:val="none" w:sz="0" w:space="0" w:color="auto"/>
        <w:bottom w:val="none" w:sz="0" w:space="0" w:color="auto"/>
        <w:right w:val="none" w:sz="0" w:space="0" w:color="auto"/>
      </w:divBdr>
    </w:div>
    <w:div w:id="1465849491">
      <w:bodyDiv w:val="1"/>
      <w:marLeft w:val="0"/>
      <w:marRight w:val="0"/>
      <w:marTop w:val="0"/>
      <w:marBottom w:val="0"/>
      <w:divBdr>
        <w:top w:val="none" w:sz="0" w:space="0" w:color="auto"/>
        <w:left w:val="none" w:sz="0" w:space="0" w:color="auto"/>
        <w:bottom w:val="none" w:sz="0" w:space="0" w:color="auto"/>
        <w:right w:val="none" w:sz="0" w:space="0" w:color="auto"/>
      </w:divBdr>
    </w:div>
    <w:div w:id="1474635002">
      <w:bodyDiv w:val="1"/>
      <w:marLeft w:val="0"/>
      <w:marRight w:val="0"/>
      <w:marTop w:val="0"/>
      <w:marBottom w:val="0"/>
      <w:divBdr>
        <w:top w:val="none" w:sz="0" w:space="0" w:color="auto"/>
        <w:left w:val="none" w:sz="0" w:space="0" w:color="auto"/>
        <w:bottom w:val="none" w:sz="0" w:space="0" w:color="auto"/>
        <w:right w:val="none" w:sz="0" w:space="0" w:color="auto"/>
      </w:divBdr>
    </w:div>
    <w:div w:id="1477332604">
      <w:bodyDiv w:val="1"/>
      <w:marLeft w:val="0"/>
      <w:marRight w:val="0"/>
      <w:marTop w:val="0"/>
      <w:marBottom w:val="0"/>
      <w:divBdr>
        <w:top w:val="none" w:sz="0" w:space="0" w:color="auto"/>
        <w:left w:val="none" w:sz="0" w:space="0" w:color="auto"/>
        <w:bottom w:val="none" w:sz="0" w:space="0" w:color="auto"/>
        <w:right w:val="none" w:sz="0" w:space="0" w:color="auto"/>
      </w:divBdr>
    </w:div>
    <w:div w:id="1512257283">
      <w:bodyDiv w:val="1"/>
      <w:marLeft w:val="0"/>
      <w:marRight w:val="0"/>
      <w:marTop w:val="0"/>
      <w:marBottom w:val="0"/>
      <w:divBdr>
        <w:top w:val="none" w:sz="0" w:space="0" w:color="auto"/>
        <w:left w:val="none" w:sz="0" w:space="0" w:color="auto"/>
        <w:bottom w:val="none" w:sz="0" w:space="0" w:color="auto"/>
        <w:right w:val="none" w:sz="0" w:space="0" w:color="auto"/>
      </w:divBdr>
    </w:div>
    <w:div w:id="1547644731">
      <w:bodyDiv w:val="1"/>
      <w:marLeft w:val="0"/>
      <w:marRight w:val="0"/>
      <w:marTop w:val="0"/>
      <w:marBottom w:val="0"/>
      <w:divBdr>
        <w:top w:val="none" w:sz="0" w:space="0" w:color="auto"/>
        <w:left w:val="none" w:sz="0" w:space="0" w:color="auto"/>
        <w:bottom w:val="none" w:sz="0" w:space="0" w:color="auto"/>
        <w:right w:val="none" w:sz="0" w:space="0" w:color="auto"/>
      </w:divBdr>
    </w:div>
    <w:div w:id="1558206304">
      <w:bodyDiv w:val="1"/>
      <w:marLeft w:val="0"/>
      <w:marRight w:val="0"/>
      <w:marTop w:val="0"/>
      <w:marBottom w:val="0"/>
      <w:divBdr>
        <w:top w:val="none" w:sz="0" w:space="0" w:color="auto"/>
        <w:left w:val="none" w:sz="0" w:space="0" w:color="auto"/>
        <w:bottom w:val="none" w:sz="0" w:space="0" w:color="auto"/>
        <w:right w:val="none" w:sz="0" w:space="0" w:color="auto"/>
      </w:divBdr>
    </w:div>
    <w:div w:id="1566145241">
      <w:bodyDiv w:val="1"/>
      <w:marLeft w:val="0"/>
      <w:marRight w:val="0"/>
      <w:marTop w:val="0"/>
      <w:marBottom w:val="0"/>
      <w:divBdr>
        <w:top w:val="none" w:sz="0" w:space="0" w:color="auto"/>
        <w:left w:val="none" w:sz="0" w:space="0" w:color="auto"/>
        <w:bottom w:val="none" w:sz="0" w:space="0" w:color="auto"/>
        <w:right w:val="none" w:sz="0" w:space="0" w:color="auto"/>
      </w:divBdr>
    </w:div>
    <w:div w:id="1575898822">
      <w:bodyDiv w:val="1"/>
      <w:marLeft w:val="0"/>
      <w:marRight w:val="0"/>
      <w:marTop w:val="0"/>
      <w:marBottom w:val="0"/>
      <w:divBdr>
        <w:top w:val="none" w:sz="0" w:space="0" w:color="auto"/>
        <w:left w:val="none" w:sz="0" w:space="0" w:color="auto"/>
        <w:bottom w:val="none" w:sz="0" w:space="0" w:color="auto"/>
        <w:right w:val="none" w:sz="0" w:space="0" w:color="auto"/>
      </w:divBdr>
    </w:div>
    <w:div w:id="1600867344">
      <w:bodyDiv w:val="1"/>
      <w:marLeft w:val="0"/>
      <w:marRight w:val="0"/>
      <w:marTop w:val="0"/>
      <w:marBottom w:val="0"/>
      <w:divBdr>
        <w:top w:val="none" w:sz="0" w:space="0" w:color="auto"/>
        <w:left w:val="none" w:sz="0" w:space="0" w:color="auto"/>
        <w:bottom w:val="none" w:sz="0" w:space="0" w:color="auto"/>
        <w:right w:val="none" w:sz="0" w:space="0" w:color="auto"/>
      </w:divBdr>
    </w:div>
    <w:div w:id="1616518971">
      <w:bodyDiv w:val="1"/>
      <w:marLeft w:val="0"/>
      <w:marRight w:val="0"/>
      <w:marTop w:val="0"/>
      <w:marBottom w:val="0"/>
      <w:divBdr>
        <w:top w:val="none" w:sz="0" w:space="0" w:color="auto"/>
        <w:left w:val="none" w:sz="0" w:space="0" w:color="auto"/>
        <w:bottom w:val="none" w:sz="0" w:space="0" w:color="auto"/>
        <w:right w:val="none" w:sz="0" w:space="0" w:color="auto"/>
      </w:divBdr>
    </w:div>
    <w:div w:id="1636717680">
      <w:bodyDiv w:val="1"/>
      <w:marLeft w:val="0"/>
      <w:marRight w:val="0"/>
      <w:marTop w:val="0"/>
      <w:marBottom w:val="0"/>
      <w:divBdr>
        <w:top w:val="none" w:sz="0" w:space="0" w:color="auto"/>
        <w:left w:val="none" w:sz="0" w:space="0" w:color="auto"/>
        <w:bottom w:val="none" w:sz="0" w:space="0" w:color="auto"/>
        <w:right w:val="none" w:sz="0" w:space="0" w:color="auto"/>
      </w:divBdr>
    </w:div>
    <w:div w:id="1647582896">
      <w:bodyDiv w:val="1"/>
      <w:marLeft w:val="0"/>
      <w:marRight w:val="0"/>
      <w:marTop w:val="0"/>
      <w:marBottom w:val="0"/>
      <w:divBdr>
        <w:top w:val="none" w:sz="0" w:space="0" w:color="auto"/>
        <w:left w:val="none" w:sz="0" w:space="0" w:color="auto"/>
        <w:bottom w:val="none" w:sz="0" w:space="0" w:color="auto"/>
        <w:right w:val="none" w:sz="0" w:space="0" w:color="auto"/>
      </w:divBdr>
    </w:div>
    <w:div w:id="1659924197">
      <w:bodyDiv w:val="1"/>
      <w:marLeft w:val="0"/>
      <w:marRight w:val="0"/>
      <w:marTop w:val="0"/>
      <w:marBottom w:val="0"/>
      <w:divBdr>
        <w:top w:val="none" w:sz="0" w:space="0" w:color="auto"/>
        <w:left w:val="none" w:sz="0" w:space="0" w:color="auto"/>
        <w:bottom w:val="none" w:sz="0" w:space="0" w:color="auto"/>
        <w:right w:val="none" w:sz="0" w:space="0" w:color="auto"/>
      </w:divBdr>
    </w:div>
    <w:div w:id="1690335075">
      <w:bodyDiv w:val="1"/>
      <w:marLeft w:val="0"/>
      <w:marRight w:val="0"/>
      <w:marTop w:val="0"/>
      <w:marBottom w:val="0"/>
      <w:divBdr>
        <w:top w:val="none" w:sz="0" w:space="0" w:color="auto"/>
        <w:left w:val="none" w:sz="0" w:space="0" w:color="auto"/>
        <w:bottom w:val="none" w:sz="0" w:space="0" w:color="auto"/>
        <w:right w:val="none" w:sz="0" w:space="0" w:color="auto"/>
      </w:divBdr>
    </w:div>
    <w:div w:id="1708749936">
      <w:bodyDiv w:val="1"/>
      <w:marLeft w:val="0"/>
      <w:marRight w:val="0"/>
      <w:marTop w:val="0"/>
      <w:marBottom w:val="0"/>
      <w:divBdr>
        <w:top w:val="none" w:sz="0" w:space="0" w:color="auto"/>
        <w:left w:val="none" w:sz="0" w:space="0" w:color="auto"/>
        <w:bottom w:val="none" w:sz="0" w:space="0" w:color="auto"/>
        <w:right w:val="none" w:sz="0" w:space="0" w:color="auto"/>
      </w:divBdr>
    </w:div>
    <w:div w:id="1753157286">
      <w:bodyDiv w:val="1"/>
      <w:marLeft w:val="0"/>
      <w:marRight w:val="0"/>
      <w:marTop w:val="0"/>
      <w:marBottom w:val="0"/>
      <w:divBdr>
        <w:top w:val="none" w:sz="0" w:space="0" w:color="auto"/>
        <w:left w:val="none" w:sz="0" w:space="0" w:color="auto"/>
        <w:bottom w:val="none" w:sz="0" w:space="0" w:color="auto"/>
        <w:right w:val="none" w:sz="0" w:space="0" w:color="auto"/>
      </w:divBdr>
    </w:div>
    <w:div w:id="1765615332">
      <w:bodyDiv w:val="1"/>
      <w:marLeft w:val="0"/>
      <w:marRight w:val="0"/>
      <w:marTop w:val="0"/>
      <w:marBottom w:val="0"/>
      <w:divBdr>
        <w:top w:val="none" w:sz="0" w:space="0" w:color="auto"/>
        <w:left w:val="none" w:sz="0" w:space="0" w:color="auto"/>
        <w:bottom w:val="none" w:sz="0" w:space="0" w:color="auto"/>
        <w:right w:val="none" w:sz="0" w:space="0" w:color="auto"/>
      </w:divBdr>
    </w:div>
    <w:div w:id="1783376919">
      <w:bodyDiv w:val="1"/>
      <w:marLeft w:val="0"/>
      <w:marRight w:val="0"/>
      <w:marTop w:val="0"/>
      <w:marBottom w:val="0"/>
      <w:divBdr>
        <w:top w:val="none" w:sz="0" w:space="0" w:color="auto"/>
        <w:left w:val="none" w:sz="0" w:space="0" w:color="auto"/>
        <w:bottom w:val="none" w:sz="0" w:space="0" w:color="auto"/>
        <w:right w:val="none" w:sz="0" w:space="0" w:color="auto"/>
      </w:divBdr>
    </w:div>
    <w:div w:id="1829516612">
      <w:bodyDiv w:val="1"/>
      <w:marLeft w:val="0"/>
      <w:marRight w:val="0"/>
      <w:marTop w:val="0"/>
      <w:marBottom w:val="0"/>
      <w:divBdr>
        <w:top w:val="none" w:sz="0" w:space="0" w:color="auto"/>
        <w:left w:val="none" w:sz="0" w:space="0" w:color="auto"/>
        <w:bottom w:val="none" w:sz="0" w:space="0" w:color="auto"/>
        <w:right w:val="none" w:sz="0" w:space="0" w:color="auto"/>
      </w:divBdr>
    </w:div>
    <w:div w:id="1854950419">
      <w:bodyDiv w:val="1"/>
      <w:marLeft w:val="0"/>
      <w:marRight w:val="0"/>
      <w:marTop w:val="0"/>
      <w:marBottom w:val="0"/>
      <w:divBdr>
        <w:top w:val="none" w:sz="0" w:space="0" w:color="auto"/>
        <w:left w:val="none" w:sz="0" w:space="0" w:color="auto"/>
        <w:bottom w:val="none" w:sz="0" w:space="0" w:color="auto"/>
        <w:right w:val="none" w:sz="0" w:space="0" w:color="auto"/>
      </w:divBdr>
    </w:div>
    <w:div w:id="1857303094">
      <w:bodyDiv w:val="1"/>
      <w:marLeft w:val="0"/>
      <w:marRight w:val="0"/>
      <w:marTop w:val="0"/>
      <w:marBottom w:val="0"/>
      <w:divBdr>
        <w:top w:val="none" w:sz="0" w:space="0" w:color="auto"/>
        <w:left w:val="none" w:sz="0" w:space="0" w:color="auto"/>
        <w:bottom w:val="none" w:sz="0" w:space="0" w:color="auto"/>
        <w:right w:val="none" w:sz="0" w:space="0" w:color="auto"/>
      </w:divBdr>
    </w:div>
    <w:div w:id="1876111725">
      <w:bodyDiv w:val="1"/>
      <w:marLeft w:val="0"/>
      <w:marRight w:val="0"/>
      <w:marTop w:val="0"/>
      <w:marBottom w:val="0"/>
      <w:divBdr>
        <w:top w:val="none" w:sz="0" w:space="0" w:color="auto"/>
        <w:left w:val="none" w:sz="0" w:space="0" w:color="auto"/>
        <w:bottom w:val="none" w:sz="0" w:space="0" w:color="auto"/>
        <w:right w:val="none" w:sz="0" w:space="0" w:color="auto"/>
      </w:divBdr>
    </w:div>
    <w:div w:id="1913274451">
      <w:bodyDiv w:val="1"/>
      <w:marLeft w:val="0"/>
      <w:marRight w:val="0"/>
      <w:marTop w:val="0"/>
      <w:marBottom w:val="0"/>
      <w:divBdr>
        <w:top w:val="none" w:sz="0" w:space="0" w:color="auto"/>
        <w:left w:val="none" w:sz="0" w:space="0" w:color="auto"/>
        <w:bottom w:val="none" w:sz="0" w:space="0" w:color="auto"/>
        <w:right w:val="none" w:sz="0" w:space="0" w:color="auto"/>
      </w:divBdr>
    </w:div>
    <w:div w:id="1928423695">
      <w:bodyDiv w:val="1"/>
      <w:marLeft w:val="0"/>
      <w:marRight w:val="0"/>
      <w:marTop w:val="0"/>
      <w:marBottom w:val="0"/>
      <w:divBdr>
        <w:top w:val="none" w:sz="0" w:space="0" w:color="auto"/>
        <w:left w:val="none" w:sz="0" w:space="0" w:color="auto"/>
        <w:bottom w:val="none" w:sz="0" w:space="0" w:color="auto"/>
        <w:right w:val="none" w:sz="0" w:space="0" w:color="auto"/>
      </w:divBdr>
    </w:div>
    <w:div w:id="1950771264">
      <w:bodyDiv w:val="1"/>
      <w:marLeft w:val="0"/>
      <w:marRight w:val="0"/>
      <w:marTop w:val="0"/>
      <w:marBottom w:val="0"/>
      <w:divBdr>
        <w:top w:val="none" w:sz="0" w:space="0" w:color="auto"/>
        <w:left w:val="none" w:sz="0" w:space="0" w:color="auto"/>
        <w:bottom w:val="none" w:sz="0" w:space="0" w:color="auto"/>
        <w:right w:val="none" w:sz="0" w:space="0" w:color="auto"/>
      </w:divBdr>
    </w:div>
    <w:div w:id="1994335390">
      <w:bodyDiv w:val="1"/>
      <w:marLeft w:val="0"/>
      <w:marRight w:val="0"/>
      <w:marTop w:val="0"/>
      <w:marBottom w:val="0"/>
      <w:divBdr>
        <w:top w:val="none" w:sz="0" w:space="0" w:color="auto"/>
        <w:left w:val="none" w:sz="0" w:space="0" w:color="auto"/>
        <w:bottom w:val="none" w:sz="0" w:space="0" w:color="auto"/>
        <w:right w:val="none" w:sz="0" w:space="0" w:color="auto"/>
      </w:divBdr>
    </w:div>
    <w:div w:id="1997881731">
      <w:bodyDiv w:val="1"/>
      <w:marLeft w:val="0"/>
      <w:marRight w:val="0"/>
      <w:marTop w:val="0"/>
      <w:marBottom w:val="0"/>
      <w:divBdr>
        <w:top w:val="none" w:sz="0" w:space="0" w:color="auto"/>
        <w:left w:val="none" w:sz="0" w:space="0" w:color="auto"/>
        <w:bottom w:val="none" w:sz="0" w:space="0" w:color="auto"/>
        <w:right w:val="none" w:sz="0" w:space="0" w:color="auto"/>
      </w:divBdr>
    </w:div>
    <w:div w:id="2000839818">
      <w:bodyDiv w:val="1"/>
      <w:marLeft w:val="0"/>
      <w:marRight w:val="0"/>
      <w:marTop w:val="0"/>
      <w:marBottom w:val="0"/>
      <w:divBdr>
        <w:top w:val="none" w:sz="0" w:space="0" w:color="auto"/>
        <w:left w:val="none" w:sz="0" w:space="0" w:color="auto"/>
        <w:bottom w:val="none" w:sz="0" w:space="0" w:color="auto"/>
        <w:right w:val="none" w:sz="0" w:space="0" w:color="auto"/>
      </w:divBdr>
    </w:div>
    <w:div w:id="2010597650">
      <w:bodyDiv w:val="1"/>
      <w:marLeft w:val="0"/>
      <w:marRight w:val="0"/>
      <w:marTop w:val="0"/>
      <w:marBottom w:val="0"/>
      <w:divBdr>
        <w:top w:val="none" w:sz="0" w:space="0" w:color="auto"/>
        <w:left w:val="none" w:sz="0" w:space="0" w:color="auto"/>
        <w:bottom w:val="none" w:sz="0" w:space="0" w:color="auto"/>
        <w:right w:val="none" w:sz="0" w:space="0" w:color="auto"/>
      </w:divBdr>
    </w:div>
    <w:div w:id="2080135374">
      <w:bodyDiv w:val="1"/>
      <w:marLeft w:val="0"/>
      <w:marRight w:val="0"/>
      <w:marTop w:val="0"/>
      <w:marBottom w:val="0"/>
      <w:divBdr>
        <w:top w:val="none" w:sz="0" w:space="0" w:color="auto"/>
        <w:left w:val="none" w:sz="0" w:space="0" w:color="auto"/>
        <w:bottom w:val="none" w:sz="0" w:space="0" w:color="auto"/>
        <w:right w:val="none" w:sz="0" w:space="0" w:color="auto"/>
      </w:divBdr>
    </w:div>
    <w:div w:id="2105372951">
      <w:bodyDiv w:val="1"/>
      <w:marLeft w:val="0"/>
      <w:marRight w:val="0"/>
      <w:marTop w:val="0"/>
      <w:marBottom w:val="0"/>
      <w:divBdr>
        <w:top w:val="none" w:sz="0" w:space="0" w:color="auto"/>
        <w:left w:val="none" w:sz="0" w:space="0" w:color="auto"/>
        <w:bottom w:val="none" w:sz="0" w:space="0" w:color="auto"/>
        <w:right w:val="none" w:sz="0" w:space="0" w:color="auto"/>
      </w:divBdr>
    </w:div>
    <w:div w:id="21134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CF4B6-ABF2-483A-AB5B-41DD19A5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1590</Words>
  <Characters>9540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BARCZ</dc:creator>
  <cp:lastModifiedBy>Krystyna Pokusa</cp:lastModifiedBy>
  <cp:revision>10</cp:revision>
  <cp:lastPrinted>2015-08-13T07:51:00Z</cp:lastPrinted>
  <dcterms:created xsi:type="dcterms:W3CDTF">2024-09-24T10:02:00Z</dcterms:created>
  <dcterms:modified xsi:type="dcterms:W3CDTF">2024-12-12T08:29:00Z</dcterms:modified>
</cp:coreProperties>
</file>