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FD43" w14:textId="77777777" w:rsidR="000167EE" w:rsidRPr="0037059A" w:rsidRDefault="003D1767" w:rsidP="000167EE">
      <w:pPr>
        <w:jc w:val="center"/>
        <w:rPr>
          <w:b/>
          <w:color w:val="000099"/>
          <w:sz w:val="36"/>
          <w:szCs w:val="36"/>
        </w:rPr>
      </w:pPr>
      <w:r w:rsidRPr="0037059A">
        <w:rPr>
          <w:noProof/>
          <w:sz w:val="20"/>
          <w:szCs w:val="20"/>
          <w:lang w:eastAsia="pl-PL"/>
        </w:rPr>
        <w:drawing>
          <wp:inline distT="0" distB="0" distL="0" distR="0" wp14:anchorId="580D7BB4" wp14:editId="184F8FA5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82183" w14:textId="77777777" w:rsidR="00CA4322" w:rsidRDefault="00CA4322" w:rsidP="00CA4322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0B3A6D6B" w14:textId="5456AF83" w:rsidR="00CA4322" w:rsidRDefault="00CA4322" w:rsidP="00CA4322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175/2026 KM FEO 2021-2027</w:t>
      </w:r>
    </w:p>
    <w:p w14:paraId="5B8458A4" w14:textId="738B2D37" w:rsidR="00CA4322" w:rsidRDefault="00CA4322" w:rsidP="00CA4322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22 stycznia 2026 r.</w:t>
      </w:r>
    </w:p>
    <w:p w14:paraId="56AA641E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3BB07C58" w14:textId="77777777" w:rsidR="00F40240" w:rsidRDefault="00F40240" w:rsidP="000167EE">
      <w:pPr>
        <w:rPr>
          <w:b/>
          <w:color w:val="000099"/>
          <w:sz w:val="36"/>
          <w:szCs w:val="36"/>
        </w:rPr>
      </w:pPr>
    </w:p>
    <w:p w14:paraId="2A090719" w14:textId="77777777" w:rsidR="00F40240" w:rsidRPr="0037059A" w:rsidRDefault="00F40240" w:rsidP="000167EE">
      <w:pPr>
        <w:rPr>
          <w:b/>
          <w:color w:val="000099"/>
          <w:sz w:val="36"/>
          <w:szCs w:val="36"/>
        </w:rPr>
      </w:pPr>
    </w:p>
    <w:p w14:paraId="61CFBC19" w14:textId="61C490FB" w:rsidR="000167EE" w:rsidRPr="0037059A" w:rsidRDefault="000167EE" w:rsidP="000167EE">
      <w:pPr>
        <w:rPr>
          <w:b/>
          <w:color w:val="000099"/>
          <w:sz w:val="36"/>
          <w:szCs w:val="36"/>
        </w:rPr>
      </w:pPr>
      <w:r w:rsidRPr="0037059A">
        <w:rPr>
          <w:b/>
          <w:color w:val="000099"/>
          <w:sz w:val="36"/>
          <w:szCs w:val="36"/>
        </w:rPr>
        <w:t xml:space="preserve">KRYTERIA </w:t>
      </w:r>
      <w:r w:rsidR="00EA548A" w:rsidRPr="0037059A">
        <w:rPr>
          <w:b/>
          <w:color w:val="000099"/>
          <w:sz w:val="36"/>
          <w:szCs w:val="36"/>
          <w:u w:val="single"/>
        </w:rPr>
        <w:t>MERYTORYCZNE - UNIWERSALNE</w:t>
      </w:r>
      <w:r w:rsidRPr="0037059A">
        <w:rPr>
          <w:b/>
          <w:color w:val="000099"/>
          <w:sz w:val="36"/>
          <w:szCs w:val="36"/>
        </w:rPr>
        <w:t xml:space="preserve"> </w:t>
      </w:r>
      <w:r w:rsidR="00A616FD" w:rsidRPr="0037059A">
        <w:rPr>
          <w:b/>
          <w:color w:val="000099"/>
          <w:sz w:val="36"/>
          <w:szCs w:val="36"/>
        </w:rPr>
        <w:t xml:space="preserve">- </w:t>
      </w:r>
      <w:r w:rsidR="00A616FD" w:rsidRPr="007B5FBC">
        <w:rPr>
          <w:b/>
          <w:color w:val="000099"/>
          <w:sz w:val="36"/>
          <w:szCs w:val="36"/>
        </w:rPr>
        <w:t>AKTUALIZACJA</w:t>
      </w:r>
    </w:p>
    <w:p w14:paraId="796FE5D1" w14:textId="77777777" w:rsidR="000167EE" w:rsidRPr="0037059A" w:rsidRDefault="000167EE" w:rsidP="000167EE">
      <w:pPr>
        <w:rPr>
          <w:b/>
          <w:color w:val="000099"/>
          <w:sz w:val="36"/>
          <w:szCs w:val="36"/>
        </w:rPr>
      </w:pPr>
    </w:p>
    <w:p w14:paraId="54D081DA" w14:textId="77777777" w:rsidR="000167EE" w:rsidRPr="0037059A" w:rsidRDefault="000167EE" w:rsidP="000167EE">
      <w:pPr>
        <w:rPr>
          <w:b/>
          <w:color w:val="000099"/>
          <w:sz w:val="36"/>
          <w:szCs w:val="36"/>
        </w:rPr>
      </w:pPr>
      <w:r w:rsidRPr="0037059A">
        <w:rPr>
          <w:b/>
          <w:color w:val="000099"/>
          <w:sz w:val="36"/>
          <w:szCs w:val="36"/>
        </w:rPr>
        <w:t xml:space="preserve">DLA WSZYSTKICH DZIAŁAŃ </w:t>
      </w:r>
      <w:r w:rsidR="00DA3F9D" w:rsidRPr="0037059A">
        <w:rPr>
          <w:b/>
          <w:color w:val="000099"/>
          <w:sz w:val="36"/>
          <w:szCs w:val="36"/>
        </w:rPr>
        <w:t>FEO</w:t>
      </w:r>
      <w:r w:rsidRPr="0037059A">
        <w:rPr>
          <w:b/>
          <w:color w:val="000099"/>
          <w:sz w:val="36"/>
          <w:szCs w:val="36"/>
        </w:rPr>
        <w:t xml:space="preserve"> 2021-2027 </w:t>
      </w:r>
    </w:p>
    <w:p w14:paraId="5E127D02" w14:textId="77777777" w:rsidR="000167EE" w:rsidRPr="0037059A" w:rsidRDefault="000167EE" w:rsidP="000167EE">
      <w:pPr>
        <w:rPr>
          <w:b/>
          <w:color w:val="000099"/>
          <w:sz w:val="36"/>
          <w:szCs w:val="36"/>
        </w:rPr>
      </w:pPr>
      <w:r w:rsidRPr="0037059A">
        <w:rPr>
          <w:b/>
          <w:color w:val="000099"/>
          <w:sz w:val="36"/>
          <w:szCs w:val="36"/>
        </w:rPr>
        <w:t>(z wyłączeniem działań wdrażanych przez instrumenty finansowe)</w:t>
      </w:r>
    </w:p>
    <w:p w14:paraId="06529663" w14:textId="77777777" w:rsidR="00597ACD" w:rsidRDefault="00597ACD" w:rsidP="00597ACD">
      <w:pPr>
        <w:rPr>
          <w:b/>
          <w:color w:val="000099"/>
          <w:sz w:val="36"/>
          <w:szCs w:val="36"/>
        </w:rPr>
      </w:pPr>
      <w:r w:rsidRPr="0037059A">
        <w:rPr>
          <w:b/>
          <w:color w:val="000099"/>
          <w:sz w:val="36"/>
          <w:szCs w:val="36"/>
        </w:rPr>
        <w:t>Zakres: Europejski Fundusz Rozwoju Regionalnego</w:t>
      </w:r>
    </w:p>
    <w:p w14:paraId="31EEC55F" w14:textId="77777777" w:rsidR="006625DD" w:rsidRPr="0037059A" w:rsidRDefault="006625DD" w:rsidP="00597ACD">
      <w:pPr>
        <w:rPr>
          <w:b/>
          <w:color w:val="000099"/>
          <w:sz w:val="36"/>
          <w:szCs w:val="36"/>
        </w:rPr>
      </w:pPr>
    </w:p>
    <w:p w14:paraId="29601395" w14:textId="15C80F06" w:rsidR="00597ACD" w:rsidRPr="0037059A" w:rsidRDefault="00200D14" w:rsidP="00597ACD">
      <w:pPr>
        <w:rPr>
          <w:b/>
          <w:color w:val="000099"/>
          <w:sz w:val="36"/>
          <w:szCs w:val="36"/>
        </w:rPr>
      </w:pPr>
      <w:r w:rsidRPr="0037059A">
        <w:rPr>
          <w:b/>
          <w:color w:val="000099"/>
          <w:sz w:val="36"/>
          <w:szCs w:val="36"/>
        </w:rPr>
        <w:t>O</w:t>
      </w:r>
      <w:r>
        <w:rPr>
          <w:b/>
          <w:color w:val="000099"/>
          <w:sz w:val="36"/>
          <w:szCs w:val="36"/>
        </w:rPr>
        <w:t>pole</w:t>
      </w:r>
      <w:r w:rsidR="00597ACD" w:rsidRPr="0037059A">
        <w:rPr>
          <w:b/>
          <w:color w:val="000099"/>
          <w:sz w:val="36"/>
          <w:szCs w:val="36"/>
        </w:rPr>
        <w:t xml:space="preserve">, </w:t>
      </w:r>
      <w:r w:rsidR="00CA4322">
        <w:rPr>
          <w:b/>
          <w:color w:val="000099"/>
          <w:sz w:val="36"/>
          <w:szCs w:val="36"/>
        </w:rPr>
        <w:t xml:space="preserve">styczeń </w:t>
      </w:r>
      <w:r w:rsidR="0012554D" w:rsidRPr="0037059A">
        <w:rPr>
          <w:b/>
          <w:color w:val="000099"/>
          <w:sz w:val="36"/>
          <w:szCs w:val="36"/>
        </w:rPr>
        <w:t>202</w:t>
      </w:r>
      <w:r w:rsidR="00CA4322">
        <w:rPr>
          <w:b/>
          <w:color w:val="000099"/>
          <w:sz w:val="36"/>
          <w:szCs w:val="36"/>
        </w:rPr>
        <w:t>6</w:t>
      </w:r>
      <w:r w:rsidR="0012554D" w:rsidRPr="0037059A">
        <w:rPr>
          <w:b/>
          <w:color w:val="000099"/>
          <w:sz w:val="36"/>
          <w:szCs w:val="36"/>
        </w:rPr>
        <w:t xml:space="preserve"> </w:t>
      </w:r>
      <w:r w:rsidR="00597ACD" w:rsidRPr="0037059A">
        <w:rPr>
          <w:b/>
          <w:color w:val="000099"/>
          <w:sz w:val="36"/>
          <w:szCs w:val="36"/>
        </w:rPr>
        <w:t>r.</w:t>
      </w:r>
    </w:p>
    <w:tbl>
      <w:tblPr>
        <w:tblW w:w="5470" w:type="pct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519"/>
        <w:gridCol w:w="2645"/>
        <w:gridCol w:w="8744"/>
        <w:gridCol w:w="3401"/>
      </w:tblGrid>
      <w:tr w:rsidR="0058587C" w:rsidRPr="0037059A" w14:paraId="753C8BBD" w14:textId="77777777" w:rsidTr="002B2059">
        <w:trPr>
          <w:trHeight w:val="595"/>
          <w:tblHeader/>
        </w:trPr>
        <w:tc>
          <w:tcPr>
            <w:tcW w:w="15309" w:type="dxa"/>
            <w:gridSpan w:val="4"/>
            <w:shd w:val="clear" w:color="auto" w:fill="D9D9D9"/>
            <w:noWrap/>
            <w:vAlign w:val="center"/>
          </w:tcPr>
          <w:p w14:paraId="103C52AE" w14:textId="0E49F241" w:rsidR="0058587C" w:rsidRPr="0037059A" w:rsidRDefault="0058587C" w:rsidP="0058373F">
            <w:pPr>
              <w:spacing w:after="0"/>
              <w:rPr>
                <w:b/>
                <w:bCs/>
                <w:color w:val="000099"/>
              </w:rPr>
            </w:pPr>
            <w:r w:rsidRPr="0058587C">
              <w:rPr>
                <w:b/>
                <w:bCs/>
                <w:color w:val="000099"/>
              </w:rPr>
              <w:lastRenderedPageBreak/>
              <w:t xml:space="preserve">Kryteria merytoryczne </w:t>
            </w:r>
            <w:r>
              <w:rPr>
                <w:b/>
                <w:bCs/>
                <w:color w:val="000099"/>
              </w:rPr>
              <w:t xml:space="preserve">uniwersalne </w:t>
            </w:r>
            <w:r w:rsidRPr="0058587C">
              <w:rPr>
                <w:b/>
                <w:bCs/>
                <w:color w:val="000099"/>
              </w:rPr>
              <w:t>(TAK/NIE)</w:t>
            </w:r>
          </w:p>
        </w:tc>
      </w:tr>
      <w:tr w:rsidR="0037059A" w:rsidRPr="0037059A" w14:paraId="113A2F15" w14:textId="37C906B3" w:rsidTr="0037059A">
        <w:trPr>
          <w:trHeight w:val="595"/>
          <w:tblHeader/>
        </w:trPr>
        <w:tc>
          <w:tcPr>
            <w:tcW w:w="519" w:type="dxa"/>
            <w:shd w:val="clear" w:color="auto" w:fill="D9D9D9"/>
            <w:noWrap/>
            <w:vAlign w:val="center"/>
          </w:tcPr>
          <w:p w14:paraId="413E2B76" w14:textId="77777777" w:rsidR="0037059A" w:rsidRPr="0037059A" w:rsidRDefault="0037059A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proofErr w:type="spellStart"/>
            <w:r w:rsidRPr="0037059A">
              <w:rPr>
                <w:b/>
                <w:bCs/>
                <w:color w:val="000099"/>
              </w:rPr>
              <w:t>Ip</w:t>
            </w:r>
            <w:proofErr w:type="spellEnd"/>
            <w:r w:rsidRPr="0037059A">
              <w:rPr>
                <w:b/>
                <w:bCs/>
                <w:color w:val="000099"/>
              </w:rPr>
              <w:t>.</w:t>
            </w:r>
          </w:p>
        </w:tc>
        <w:tc>
          <w:tcPr>
            <w:tcW w:w="2645" w:type="dxa"/>
            <w:shd w:val="clear" w:color="auto" w:fill="D9D9D9"/>
            <w:noWrap/>
            <w:vAlign w:val="center"/>
          </w:tcPr>
          <w:p w14:paraId="09162B4E" w14:textId="77777777" w:rsidR="0037059A" w:rsidRPr="0037059A" w:rsidRDefault="0037059A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37059A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8744" w:type="dxa"/>
            <w:shd w:val="clear" w:color="auto" w:fill="D9D9D9"/>
            <w:vAlign w:val="center"/>
          </w:tcPr>
          <w:p w14:paraId="32881638" w14:textId="77777777" w:rsidR="0037059A" w:rsidRPr="0037059A" w:rsidRDefault="0037059A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37059A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3401" w:type="dxa"/>
            <w:shd w:val="clear" w:color="auto" w:fill="D9D9D9"/>
            <w:vAlign w:val="center"/>
          </w:tcPr>
          <w:p w14:paraId="29C935BE" w14:textId="77777777" w:rsidR="0037059A" w:rsidRPr="0037059A" w:rsidRDefault="0037059A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37059A">
              <w:rPr>
                <w:b/>
                <w:bCs/>
                <w:color w:val="000099"/>
              </w:rPr>
              <w:t>Opis znaczenia kryterium</w:t>
            </w:r>
          </w:p>
        </w:tc>
      </w:tr>
      <w:tr w:rsidR="0037059A" w:rsidRPr="0037059A" w14:paraId="1D5B57FA" w14:textId="08BA327C" w:rsidTr="0037059A">
        <w:trPr>
          <w:trHeight w:val="255"/>
          <w:tblHeader/>
        </w:trPr>
        <w:tc>
          <w:tcPr>
            <w:tcW w:w="519" w:type="dxa"/>
            <w:shd w:val="clear" w:color="auto" w:fill="F2F2F2"/>
            <w:noWrap/>
            <w:vAlign w:val="bottom"/>
          </w:tcPr>
          <w:p w14:paraId="002D007D" w14:textId="77777777" w:rsidR="0037059A" w:rsidRPr="0037059A" w:rsidRDefault="0037059A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37059A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2645" w:type="dxa"/>
            <w:shd w:val="clear" w:color="auto" w:fill="F2F2F2"/>
            <w:noWrap/>
            <w:vAlign w:val="bottom"/>
          </w:tcPr>
          <w:p w14:paraId="5978764D" w14:textId="77777777" w:rsidR="0037059A" w:rsidRPr="0037059A" w:rsidRDefault="0037059A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37059A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8744" w:type="dxa"/>
            <w:shd w:val="clear" w:color="auto" w:fill="F2F2F2"/>
            <w:vAlign w:val="bottom"/>
          </w:tcPr>
          <w:p w14:paraId="7D5F5F55" w14:textId="77777777" w:rsidR="0037059A" w:rsidRPr="0037059A" w:rsidRDefault="0037059A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37059A"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3401" w:type="dxa"/>
            <w:shd w:val="clear" w:color="auto" w:fill="F2F2F2"/>
          </w:tcPr>
          <w:p w14:paraId="4ED935AA" w14:textId="77777777" w:rsidR="0037059A" w:rsidRPr="0037059A" w:rsidRDefault="0037059A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37059A"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37059A" w:rsidRPr="0037059A" w14:paraId="329CAFD4" w14:textId="3954CFD6" w:rsidTr="0037059A">
        <w:trPr>
          <w:trHeight w:val="644"/>
        </w:trPr>
        <w:tc>
          <w:tcPr>
            <w:tcW w:w="519" w:type="dxa"/>
            <w:noWrap/>
            <w:vAlign w:val="center"/>
          </w:tcPr>
          <w:p w14:paraId="544AE25E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645" w:type="dxa"/>
            <w:vAlign w:val="center"/>
          </w:tcPr>
          <w:p w14:paraId="57DB141A" w14:textId="63658D1F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Założenia projektu zgodne z celami działania/typem przedsięwzięcia</w:t>
            </w:r>
            <w:r w:rsidRPr="0037059A">
              <w:rPr>
                <w:rFonts w:cs="Calibri"/>
                <w:sz w:val="24"/>
                <w:szCs w:val="24"/>
              </w:rPr>
              <w:t xml:space="preserve">, a także </w:t>
            </w:r>
            <w:r w:rsidR="00807C52">
              <w:rPr>
                <w:rFonts w:cs="Calibri"/>
                <w:sz w:val="24"/>
                <w:szCs w:val="24"/>
              </w:rPr>
              <w:br/>
            </w:r>
            <w:r w:rsidRPr="0037059A">
              <w:rPr>
                <w:rFonts w:cs="Calibri"/>
                <w:sz w:val="24"/>
                <w:szCs w:val="24"/>
              </w:rPr>
              <w:t xml:space="preserve">z zasadą </w:t>
            </w:r>
            <w:proofErr w:type="spellStart"/>
            <w:r w:rsidRPr="0037059A">
              <w:rPr>
                <w:rFonts w:cs="Calibri"/>
                <w:sz w:val="24"/>
                <w:szCs w:val="24"/>
              </w:rPr>
              <w:t>deinstytucjonalizacji</w:t>
            </w:r>
            <w:proofErr w:type="spellEnd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44" w:type="dxa"/>
            <w:vAlign w:val="center"/>
          </w:tcPr>
          <w:p w14:paraId="0A9F0F20" w14:textId="0B9CE3B5" w:rsidR="0037059A" w:rsidRPr="0037059A" w:rsidRDefault="0037059A" w:rsidP="00A85FA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Sprawdza się zgodność założeń projektu z celami działania </w:t>
            </w:r>
            <w:r w:rsidRPr="0037059A">
              <w:rPr>
                <w:rFonts w:cs="Calibri"/>
                <w:sz w:val="24"/>
                <w:szCs w:val="24"/>
              </w:rPr>
              <w:t xml:space="preserve">/typem przedsięwzięcia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określonymi w Programie regionalnym </w:t>
            </w:r>
            <w:r w:rsidRPr="0037059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Fundusze Europejskie dla Opolskiego 2021-2027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oraz w </w:t>
            </w:r>
            <w:r w:rsidRPr="0037059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Szczegółowym opisie priorytetów FEO 2021-2027</w:t>
            </w:r>
            <w:r w:rsidRPr="0037059A">
              <w:rPr>
                <w:rFonts w:cs="Calibri"/>
                <w:sz w:val="24"/>
                <w:szCs w:val="24"/>
              </w:rPr>
              <w:t xml:space="preserve">, a także z zasadą </w:t>
            </w:r>
            <w:proofErr w:type="spellStart"/>
            <w:r w:rsidRPr="0037059A">
              <w:rPr>
                <w:rFonts w:cs="Calibri"/>
                <w:sz w:val="24"/>
                <w:szCs w:val="24"/>
              </w:rPr>
              <w:t>deinstytucjonalizacji</w:t>
            </w:r>
            <w:proofErr w:type="spellEnd"/>
            <w:r w:rsidRPr="0037059A">
              <w:rPr>
                <w:rFonts w:cs="Calibri"/>
                <w:sz w:val="24"/>
                <w:szCs w:val="24"/>
              </w:rPr>
              <w:t xml:space="preserve"> oraz</w:t>
            </w: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</w:t>
            </w:r>
            <w:r w:rsidRPr="0037059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Wytycznymi ministra właściwego ds. rozwoju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61A6F37" w14:textId="77777777" w:rsidR="0037059A" w:rsidRPr="0037059A" w:rsidRDefault="0037059A" w:rsidP="00A85FA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77E66D" w14:textId="2023085B" w:rsidR="0037059A" w:rsidRPr="0037059A" w:rsidRDefault="0037059A" w:rsidP="00A85FA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Zgodność projektu z zasadą </w:t>
            </w:r>
            <w:proofErr w:type="spellStart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deinstytucjonalizacji</w:t>
            </w:r>
            <w:proofErr w:type="spellEnd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oznacza, że nie </w:t>
            </w:r>
            <w:r w:rsidR="00FD7145">
              <w:rPr>
                <w:rFonts w:asciiTheme="minorHAnsi" w:hAnsiTheme="minorHAnsi" w:cstheme="minorHAnsi"/>
                <w:sz w:val="24"/>
                <w:szCs w:val="24"/>
              </w:rPr>
              <w:t>będzie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finansowana infrastruktura placówek świadczących usługi w formie instytucjonalnej</w:t>
            </w:r>
            <w:r w:rsidR="001A56C4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która powoduje segregację społeczną i przestrzenną poszczególnych grup społecznych</w:t>
            </w:r>
            <w:r w:rsidR="001A56C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A56C4">
              <w:rPr>
                <w:rFonts w:asciiTheme="minorHAnsi" w:hAnsiTheme="minorHAnsi" w:cstheme="minorHAnsi"/>
                <w:sz w:val="24"/>
                <w:szCs w:val="24"/>
              </w:rPr>
              <w:t>w tym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placówek świadczących całodobową opiekę długoterminową (np.: domy pomocy społecznej, zakłady opiekuńczo-lecznicze, zakłady pielęgnacyjno-opiekuńcze, placówki opiekuńczo-wychowawcze, noclegownie, schroniska dla bezdomnych), a także szkół specjalnych.</w:t>
            </w:r>
          </w:p>
          <w:p w14:paraId="7BEDDA20" w14:textId="77777777" w:rsidR="00FD7145" w:rsidRDefault="00FD7145" w:rsidP="00FD7145">
            <w:pPr>
              <w:suppressAutoHyphens/>
              <w:autoSpaceDE w:val="0"/>
              <w:snapToGrid w:val="0"/>
              <w:spacing w:after="0"/>
              <w:rPr>
                <w:rFonts w:cs="Calibri"/>
                <w:sz w:val="24"/>
                <w:szCs w:val="24"/>
                <w:lang w:eastAsia="zh-CN"/>
              </w:rPr>
            </w:pPr>
          </w:p>
          <w:p w14:paraId="1D2D5801" w14:textId="53E4646F" w:rsidR="00FD7145" w:rsidRPr="00211A7A" w:rsidRDefault="00FD7145" w:rsidP="00FD7145">
            <w:pPr>
              <w:suppressAutoHyphens/>
              <w:autoSpaceDE w:val="0"/>
              <w:snapToGrid w:val="0"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211A7A">
              <w:rPr>
                <w:rFonts w:cs="Calibri"/>
                <w:sz w:val="24"/>
                <w:szCs w:val="24"/>
                <w:lang w:eastAsia="zh-CN"/>
              </w:rPr>
              <w:t>Poprzez opiekę instytucjonalną rozumie się usługi świadczone w:</w:t>
            </w:r>
          </w:p>
          <w:p w14:paraId="6F95F20E" w14:textId="77777777" w:rsidR="00FD7145" w:rsidRPr="00211A7A" w:rsidRDefault="00FD7145" w:rsidP="00FD7145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snapToGrid w:val="0"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211A7A">
              <w:rPr>
                <w:rFonts w:cs="Calibri"/>
                <w:sz w:val="24"/>
                <w:szCs w:val="24"/>
                <w:lang w:eastAsia="zh-CN"/>
              </w:rPr>
              <w:t>placówce opiekuńczo-pobytowej, czyli placówce wieloosobowego, całodobowego pobytu i opieki, w której liczba mieszkańców jest większa niż 8 osób, lub w której spełniona jest co najmniej jedna z poniższych przesłanek:</w:t>
            </w:r>
          </w:p>
          <w:p w14:paraId="6673FF2A" w14:textId="77777777" w:rsidR="00FD7145" w:rsidRPr="00211A7A" w:rsidRDefault="00FD7145" w:rsidP="00FD7145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/>
              <w:ind w:left="1171" w:hanging="425"/>
              <w:rPr>
                <w:rFonts w:cs="Calibri"/>
                <w:sz w:val="24"/>
                <w:szCs w:val="24"/>
                <w:lang w:eastAsia="zh-CN"/>
              </w:rPr>
            </w:pPr>
            <w:r w:rsidRPr="00211A7A">
              <w:rPr>
                <w:rFonts w:cs="Calibri"/>
                <w:sz w:val="24"/>
                <w:szCs w:val="24"/>
                <w:lang w:eastAsia="zh-CN"/>
              </w:rPr>
              <w:t>usługi nie są świadczone w sposób zindywidualizowany (dostosowany do możliwości i potrzeb danej osoby);</w:t>
            </w:r>
          </w:p>
          <w:p w14:paraId="0B10E6AC" w14:textId="77777777" w:rsidR="00FD7145" w:rsidRPr="00211A7A" w:rsidRDefault="00FD7145" w:rsidP="00FD7145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/>
              <w:ind w:left="1171" w:hanging="425"/>
              <w:rPr>
                <w:rFonts w:cs="Calibri"/>
                <w:sz w:val="24"/>
                <w:szCs w:val="24"/>
                <w:lang w:eastAsia="zh-CN"/>
              </w:rPr>
            </w:pPr>
            <w:r w:rsidRPr="00211A7A">
              <w:rPr>
                <w:rFonts w:cs="Calibri"/>
                <w:sz w:val="24"/>
                <w:szCs w:val="24"/>
                <w:lang w:eastAsia="zh-CN"/>
              </w:rPr>
              <w:t>wymagania organizacyjne mają pierwszeństwo przed indywidualnymi potrzebami mieszkańców;</w:t>
            </w:r>
          </w:p>
          <w:p w14:paraId="226E03FE" w14:textId="77777777" w:rsidR="00FD7145" w:rsidRPr="00211A7A" w:rsidRDefault="00FD7145" w:rsidP="00FD7145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/>
              <w:ind w:left="1171" w:hanging="425"/>
              <w:rPr>
                <w:rFonts w:cs="Calibri"/>
                <w:sz w:val="24"/>
                <w:szCs w:val="24"/>
                <w:lang w:eastAsia="zh-CN"/>
              </w:rPr>
            </w:pPr>
            <w:r w:rsidRPr="00211A7A">
              <w:rPr>
                <w:rFonts w:cs="Calibri"/>
                <w:sz w:val="24"/>
                <w:szCs w:val="24"/>
                <w:lang w:eastAsia="zh-CN"/>
              </w:rPr>
              <w:t>mieszkańcy nie mają wystarczającej kontroli nad swoim życiem i nad decyzjami, które ich dotyczą w zakresie funkcjonowania w ramach placówki;</w:t>
            </w:r>
          </w:p>
          <w:p w14:paraId="719BE0E4" w14:textId="77777777" w:rsidR="00FD7145" w:rsidRPr="00211A7A" w:rsidRDefault="00FD7145" w:rsidP="00FD7145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/>
              <w:ind w:left="1171" w:hanging="425"/>
              <w:rPr>
                <w:rFonts w:cs="Calibri"/>
                <w:sz w:val="24"/>
                <w:szCs w:val="24"/>
                <w:lang w:eastAsia="zh-CN"/>
              </w:rPr>
            </w:pPr>
            <w:r w:rsidRPr="00211A7A">
              <w:rPr>
                <w:rFonts w:cs="Calibri"/>
                <w:sz w:val="24"/>
                <w:szCs w:val="24"/>
                <w:lang w:eastAsia="zh-CN"/>
              </w:rPr>
              <w:lastRenderedPageBreak/>
              <w:t>mieszkańcy są odizolowani od ogółu społeczności lub zmuszeni do mieszkania razem;</w:t>
            </w:r>
          </w:p>
          <w:p w14:paraId="040F7ED2" w14:textId="77777777" w:rsidR="00FD7145" w:rsidRPr="00211A7A" w:rsidRDefault="00FD7145" w:rsidP="00FD7145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snapToGrid w:val="0"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211A7A">
              <w:rPr>
                <w:rFonts w:cs="Calibri"/>
                <w:sz w:val="24"/>
                <w:szCs w:val="24"/>
                <w:lang w:eastAsia="zh-CN"/>
              </w:rPr>
              <w:t xml:space="preserve">placówce opiekuńczo-wychowawczej typu socjalizacyjnego, interwencyjnego lub specjalistyczno-terapeutycznego, regionalnej placówce opiekuńczo-terapeutycznej lub interwencyjnym ośrodku </w:t>
            </w:r>
            <w:proofErr w:type="spellStart"/>
            <w:r w:rsidRPr="00211A7A">
              <w:rPr>
                <w:rFonts w:cs="Calibri"/>
                <w:sz w:val="24"/>
                <w:szCs w:val="24"/>
                <w:lang w:eastAsia="zh-CN"/>
              </w:rPr>
              <w:t>preadopcyjnym</w:t>
            </w:r>
            <w:proofErr w:type="spellEnd"/>
            <w:r w:rsidRPr="00211A7A">
              <w:rPr>
                <w:rFonts w:cs="Calibri"/>
                <w:sz w:val="24"/>
                <w:szCs w:val="24"/>
                <w:lang w:eastAsia="zh-CN"/>
              </w:rPr>
              <w:t xml:space="preserve"> w rozumieniu ustawy z dnia 9 czerwca 2011 r. o wspieraniu rodziny i systemie pieczy zastępczej lub w innej placówce wieloosobowego, całodobowego pobytu lub opieki;</w:t>
            </w:r>
          </w:p>
          <w:p w14:paraId="6180F8A8" w14:textId="77777777" w:rsidR="00FD7145" w:rsidRPr="00211A7A" w:rsidRDefault="00FD7145" w:rsidP="00FD7145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snapToGrid w:val="0"/>
              <w:spacing w:after="120"/>
              <w:ind w:left="714" w:hanging="357"/>
              <w:contextualSpacing w:val="0"/>
              <w:rPr>
                <w:rFonts w:cs="Calibri"/>
                <w:sz w:val="24"/>
                <w:szCs w:val="24"/>
                <w:lang w:eastAsia="zh-CN"/>
              </w:rPr>
            </w:pPr>
            <w:r w:rsidRPr="00211A7A">
              <w:rPr>
                <w:rFonts w:cs="Calibri"/>
                <w:sz w:val="24"/>
                <w:szCs w:val="24"/>
                <w:lang w:eastAsia="zh-CN"/>
              </w:rPr>
              <w:t>placówce interwencyjnego zakwaterowania (noclegownie, schroniska dla osób w kryzysie bezdomności, ogrzewalnie).</w:t>
            </w:r>
          </w:p>
          <w:p w14:paraId="2BD031FB" w14:textId="77777777" w:rsidR="00FD7145" w:rsidRPr="00211A7A" w:rsidRDefault="00FD7145" w:rsidP="00FD7145">
            <w:pPr>
              <w:suppressAutoHyphens/>
              <w:autoSpaceDE w:val="0"/>
              <w:snapToGrid w:val="0"/>
              <w:spacing w:after="120"/>
              <w:rPr>
                <w:rFonts w:cs="Calibri"/>
                <w:sz w:val="24"/>
                <w:szCs w:val="24"/>
                <w:lang w:eastAsia="zh-CN"/>
              </w:rPr>
            </w:pPr>
            <w:r w:rsidRPr="00211A7A">
              <w:rPr>
                <w:rFonts w:cs="Calibri"/>
                <w:i/>
                <w:iCs/>
                <w:sz w:val="24"/>
                <w:szCs w:val="24"/>
                <w:lang w:eastAsia="zh-CN"/>
              </w:rPr>
              <w:t>Opieka instytucjonalna</w:t>
            </w:r>
            <w:r w:rsidRPr="00211A7A">
              <w:rPr>
                <w:rFonts w:cs="Calibri"/>
                <w:sz w:val="24"/>
                <w:szCs w:val="24"/>
                <w:lang w:eastAsia="zh-CN"/>
              </w:rPr>
              <w:t xml:space="preserve"> realizowana jest w szczególności w takich instytucjach jak dom pomocy społecznej, o którym mowa w ustawie z dnia 12 marca 2004 r. o pomocy społecznej oraz zakład opiekuńczo-leczniczy i zakład pielęgnacyjno-opiekuńczy, o których mowa w ustawie z dnia 27 sierpnia 2004 r. o świadczeniach opieki zdrowotnej finansowanych ze środków publicznych.</w:t>
            </w:r>
          </w:p>
          <w:p w14:paraId="5A361802" w14:textId="77777777" w:rsidR="00FD7145" w:rsidRDefault="00FD7145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1DD40F" w14:textId="74BB8DA6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435D4899" w14:textId="77777777" w:rsidR="0037059A" w:rsidRPr="0037059A" w:rsidRDefault="0037059A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7059A" w:rsidRPr="0037059A" w14:paraId="70EE58EB" w14:textId="34366908" w:rsidTr="0037059A">
        <w:trPr>
          <w:trHeight w:val="644"/>
        </w:trPr>
        <w:tc>
          <w:tcPr>
            <w:tcW w:w="519" w:type="dxa"/>
            <w:noWrap/>
            <w:vAlign w:val="center"/>
          </w:tcPr>
          <w:p w14:paraId="40122F62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645" w:type="dxa"/>
            <w:vAlign w:val="center"/>
          </w:tcPr>
          <w:p w14:paraId="14B09480" w14:textId="7B3FADDE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Prawidłowość ponoszonych wydatków (jeśli dotyczy)</w:t>
            </w:r>
          </w:p>
        </w:tc>
        <w:tc>
          <w:tcPr>
            <w:tcW w:w="8744" w:type="dxa"/>
            <w:vAlign w:val="center"/>
          </w:tcPr>
          <w:p w14:paraId="553DBA6E" w14:textId="46FDBF11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t>W przypadku projektów, których realizacja rozpoczęła się przed dniem złożenia wniosku o dofinansowanie weryfikacji podlega prawidłowość ponoszonych wydatków na podstawie informacji zawartych we wniosku o dofinansowanie oraz w załącznikach.</w:t>
            </w:r>
          </w:p>
          <w:p w14:paraId="3C25F630" w14:textId="54FE14B5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t>Bada się w szczególności m.in. zapisy dotyczące stosowania prawa zamówień publicznych.</w:t>
            </w:r>
          </w:p>
          <w:p w14:paraId="337C50D7" w14:textId="122B5643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43361189" w14:textId="77777777" w:rsidR="0037059A" w:rsidRPr="0037059A" w:rsidRDefault="0037059A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37059A" w:rsidRPr="0037059A" w14:paraId="5CC4D8E3" w14:textId="02106EB0" w:rsidTr="0037059A">
        <w:trPr>
          <w:trHeight w:val="644"/>
        </w:trPr>
        <w:tc>
          <w:tcPr>
            <w:tcW w:w="519" w:type="dxa"/>
            <w:noWrap/>
            <w:vAlign w:val="center"/>
          </w:tcPr>
          <w:p w14:paraId="02D62576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645" w:type="dxa"/>
            <w:vAlign w:val="center"/>
          </w:tcPr>
          <w:p w14:paraId="6C67DD88" w14:textId="7B044F77" w:rsidR="0037059A" w:rsidRPr="0037059A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Wykonalność 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projektu </w:t>
            </w:r>
          </w:p>
        </w:tc>
        <w:tc>
          <w:tcPr>
            <w:tcW w:w="8744" w:type="dxa"/>
            <w:vAlign w:val="center"/>
          </w:tcPr>
          <w:p w14:paraId="1484EBF5" w14:textId="77777777" w:rsidR="0037059A" w:rsidRPr="0037059A" w:rsidRDefault="0037059A" w:rsidP="00F84943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Bada się wykonalność projektu wg:</w:t>
            </w:r>
          </w:p>
          <w:p w14:paraId="4A5CD205" w14:textId="77777777" w:rsidR="0037059A" w:rsidRPr="0037059A" w:rsidRDefault="0037059A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planowanego harmonogramu;</w:t>
            </w:r>
          </w:p>
          <w:p w14:paraId="65F1F69C" w14:textId="76B96ECC" w:rsidR="0037059A" w:rsidRPr="0037059A" w:rsidRDefault="0037059A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zakresu rzeczowego;</w:t>
            </w:r>
          </w:p>
          <w:p w14:paraId="0E8EB4FD" w14:textId="77777777" w:rsidR="0037059A" w:rsidRPr="0037059A" w:rsidRDefault="0037059A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złożoności procedur przetargowych; </w:t>
            </w:r>
          </w:p>
          <w:p w14:paraId="13C1FA1F" w14:textId="77777777" w:rsidR="0037059A" w:rsidRPr="0037059A" w:rsidRDefault="0037059A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innych okoliczności warunkujących terminową realizację projektu; </w:t>
            </w:r>
          </w:p>
          <w:p w14:paraId="1E626E4F" w14:textId="6F698236" w:rsidR="008242B4" w:rsidRPr="00807C52" w:rsidRDefault="0037059A" w:rsidP="00277C59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wykonalności instytucjonalnej (w tym bada się, czy wnioskodawca posiada zdolność instytucjonalną, organizacyjną i kadrową do realizacji projektu, gwarantujące stabilne zarządzanie projektem (zgodnie z przyjętymi celami)). </w:t>
            </w:r>
          </w:p>
          <w:p w14:paraId="701A2274" w14:textId="3DD93FEB" w:rsidR="0037059A" w:rsidRPr="0037059A" w:rsidRDefault="0037059A" w:rsidP="00F13661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35A8BE71" w14:textId="77777777" w:rsidR="0037059A" w:rsidRPr="0037059A" w:rsidRDefault="0037059A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37059A" w:rsidRPr="0037059A" w14:paraId="4F966308" w14:textId="196AA018" w:rsidTr="0037059A">
        <w:trPr>
          <w:trHeight w:val="644"/>
        </w:trPr>
        <w:tc>
          <w:tcPr>
            <w:tcW w:w="519" w:type="dxa"/>
            <w:noWrap/>
            <w:vAlign w:val="center"/>
          </w:tcPr>
          <w:p w14:paraId="06C15914" w14:textId="77777777" w:rsidR="0037059A" w:rsidRPr="00601E0D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1E0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45" w:type="dxa"/>
            <w:vAlign w:val="center"/>
          </w:tcPr>
          <w:p w14:paraId="42831B39" w14:textId="77777777" w:rsidR="0037059A" w:rsidRPr="00601E0D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1E0D">
              <w:rPr>
                <w:rFonts w:asciiTheme="minorHAnsi" w:hAnsiTheme="minorHAnsi" w:cstheme="minorHAnsi"/>
                <w:sz w:val="24"/>
                <w:szCs w:val="24"/>
              </w:rPr>
              <w:t>Kwalifikowalność wydatków</w:t>
            </w:r>
          </w:p>
        </w:tc>
        <w:tc>
          <w:tcPr>
            <w:tcW w:w="8744" w:type="dxa"/>
            <w:vAlign w:val="center"/>
          </w:tcPr>
          <w:p w14:paraId="3AB83412" w14:textId="0A5F27F6" w:rsidR="0037059A" w:rsidRPr="0037059A" w:rsidRDefault="0037059A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Bada się kwalifikowalność wydatków zaplanowanych/poniesionych w ramach projektu z uwzględnieniem:</w:t>
            </w:r>
          </w:p>
          <w:p w14:paraId="47B272A0" w14:textId="4767CBEB" w:rsidR="0037059A" w:rsidRPr="0037059A" w:rsidRDefault="0037059A" w:rsidP="006252C7">
            <w:pPr>
              <w:numPr>
                <w:ilvl w:val="0"/>
                <w:numId w:val="5"/>
              </w:numPr>
              <w:spacing w:after="0" w:line="259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racjonalności i niezbędności do realizacji projektu;</w:t>
            </w:r>
          </w:p>
          <w:p w14:paraId="23E44708" w14:textId="7406D8F9" w:rsidR="0037059A" w:rsidRPr="0037059A" w:rsidRDefault="0037059A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zakresu rzeczowego projektu;</w:t>
            </w:r>
          </w:p>
          <w:p w14:paraId="0785CEC2" w14:textId="77777777" w:rsidR="0037059A" w:rsidRPr="0037059A" w:rsidRDefault="0037059A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realizowanych zadań, celów projektu oraz ich wskaźników;</w:t>
            </w:r>
          </w:p>
          <w:p w14:paraId="33599B94" w14:textId="77777777" w:rsidR="0037059A" w:rsidRPr="0037059A" w:rsidRDefault="0037059A" w:rsidP="00254B82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czy wydatki nie są zawyżone w stosunku do cen rynkowych, czy prawidłowo uzasadniono ich wysokość;</w:t>
            </w:r>
          </w:p>
          <w:p w14:paraId="0FB251F6" w14:textId="77777777" w:rsidR="0037059A" w:rsidRPr="0037059A" w:rsidRDefault="0037059A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prawidłowości wyliczenia stawek jednostkowych lub ryczałtowych/kwot ryczałtowych;</w:t>
            </w:r>
          </w:p>
          <w:p w14:paraId="259C3DAD" w14:textId="2549D347" w:rsidR="00FC4690" w:rsidRDefault="0037059A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spełnienia wymogów określonych w Wytycznych dotyczących kwalifikowalności wydatków na lata 2021-2027 </w:t>
            </w:r>
            <w:r w:rsidR="00FC4690">
              <w:rPr>
                <w:rFonts w:asciiTheme="minorHAnsi" w:hAnsiTheme="minorHAnsi" w:cstheme="minorHAnsi"/>
                <w:sz w:val="24"/>
                <w:szCs w:val="24"/>
              </w:rPr>
              <w:t xml:space="preserve">(w </w:t>
            </w:r>
            <w:proofErr w:type="gramStart"/>
            <w:r w:rsidR="00FC4690">
              <w:rPr>
                <w:rFonts w:asciiTheme="minorHAnsi" w:hAnsiTheme="minorHAnsi" w:cstheme="minorHAnsi"/>
                <w:sz w:val="24"/>
                <w:szCs w:val="24"/>
              </w:rPr>
              <w:t>tym  wymogu</w:t>
            </w:r>
            <w:proofErr w:type="gramEnd"/>
            <w:r w:rsidR="00FC4690">
              <w:rPr>
                <w:rFonts w:asciiTheme="minorHAnsi" w:hAnsiTheme="minorHAnsi" w:cstheme="minorHAnsi"/>
                <w:sz w:val="24"/>
                <w:szCs w:val="24"/>
              </w:rPr>
              <w:t xml:space="preserve"> dotyczącego braku możliwości podwójnego finansowania);</w:t>
            </w:r>
          </w:p>
          <w:p w14:paraId="46FF1200" w14:textId="4B1025E5" w:rsidR="0037059A" w:rsidRPr="0037059A" w:rsidRDefault="0037059A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w przypadku projektów objętych pomocą publiczną</w:t>
            </w:r>
            <w:r w:rsidR="00FC4690">
              <w:rPr>
                <w:rFonts w:asciiTheme="minorHAnsi" w:hAnsiTheme="minorHAnsi" w:cstheme="minorHAnsi"/>
                <w:sz w:val="24"/>
                <w:szCs w:val="24"/>
              </w:rPr>
              <w:t xml:space="preserve"> spełnienia wymogów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zgodności z programem pomocy publicznej i odpowiednimi aktami normatywnymi wskazanymi w SZOP i/lub Regulaminie wyboru projektów;</w:t>
            </w:r>
          </w:p>
          <w:p w14:paraId="4262565A" w14:textId="77777777" w:rsidR="0037059A" w:rsidRPr="0037059A" w:rsidRDefault="0037059A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zgodności z limitami i ograniczeniami wskazanymi w SZOP i/lub Regulaminie wyboru projektów.</w:t>
            </w:r>
          </w:p>
          <w:p w14:paraId="0CA5C24E" w14:textId="5275F63B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4E1BE3CE" w14:textId="77777777" w:rsidR="0037059A" w:rsidRPr="0037059A" w:rsidRDefault="0037059A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37059A" w:rsidRPr="0037059A" w14:paraId="30A7BB42" w14:textId="6C6C7A4D" w:rsidTr="0037059A">
        <w:trPr>
          <w:trHeight w:val="564"/>
        </w:trPr>
        <w:tc>
          <w:tcPr>
            <w:tcW w:w="5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5761F715" w14:textId="77777777" w:rsidR="0037059A" w:rsidRPr="0037059A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45" w:type="dxa"/>
            <w:vAlign w:val="center"/>
          </w:tcPr>
          <w:p w14:paraId="6450BDEA" w14:textId="77777777" w:rsidR="0037059A" w:rsidRPr="0037059A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Zgodność z zasadami dotyczącymi pomocy publicznej</w:t>
            </w:r>
          </w:p>
        </w:tc>
        <w:tc>
          <w:tcPr>
            <w:tcW w:w="8744" w:type="dxa"/>
            <w:vAlign w:val="center"/>
          </w:tcPr>
          <w:p w14:paraId="08929952" w14:textId="77777777" w:rsidR="0037059A" w:rsidRPr="0037059A" w:rsidRDefault="0037059A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Sprawdza się m.in. czy prawidłowo założono występowanie lub nie pomocy publicznej.</w:t>
            </w:r>
          </w:p>
          <w:p w14:paraId="7E565884" w14:textId="5AEF207B" w:rsidR="0037059A" w:rsidRPr="0037059A" w:rsidRDefault="0037059A" w:rsidP="006B73F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Badana jest kompletność dokumentacji złożonej przez wnioskodawcę dla potrzeb weryfikacji spełniania kryterium.</w:t>
            </w:r>
          </w:p>
          <w:p w14:paraId="7B10940F" w14:textId="5F79C73F" w:rsidR="0037059A" w:rsidRPr="0037059A" w:rsidRDefault="0037059A" w:rsidP="000A54F7">
            <w:p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W przypadku występowania pomocy publicznej sprawdza się kwalifikowalność wydatków zgodnie z odpowiednimi rozporządzeniami właściwego ministra oraz odpowiednimi przepisami określającymi zasady udzielania pomocy publicznej wskazanymi w SZOP i/lub Regulaminie wyboru projektów. </w:t>
            </w:r>
          </w:p>
          <w:p w14:paraId="460D0945" w14:textId="5DDDAD07" w:rsidR="0037059A" w:rsidRPr="0037059A" w:rsidRDefault="0037059A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W przypadku niewystępowania pomocy publicznej, sprawdza się czy właściwie uzasadniono przyjęcie takiego założenia.</w:t>
            </w:r>
          </w:p>
          <w:p w14:paraId="09D61901" w14:textId="0D745453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589F3DB" w14:textId="77777777" w:rsidR="0037059A" w:rsidRPr="0037059A" w:rsidRDefault="0037059A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37059A" w:rsidRPr="0037059A" w14:paraId="4EB99B08" w14:textId="53D4663C" w:rsidTr="0037059A">
        <w:trPr>
          <w:trHeight w:val="2755"/>
        </w:trPr>
        <w:tc>
          <w:tcPr>
            <w:tcW w:w="519" w:type="dxa"/>
            <w:noWrap/>
            <w:vAlign w:val="center"/>
          </w:tcPr>
          <w:p w14:paraId="2DC794D7" w14:textId="77777777" w:rsidR="0037059A" w:rsidRPr="0037059A" w:rsidDel="009623FC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2645" w:type="dxa"/>
            <w:vAlign w:val="center"/>
          </w:tcPr>
          <w:p w14:paraId="5CA5C8FB" w14:textId="77777777" w:rsidR="0037059A" w:rsidRPr="0037059A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Instytucjonalna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i organizacyjna trwałość projektu </w:t>
            </w:r>
          </w:p>
        </w:tc>
        <w:tc>
          <w:tcPr>
            <w:tcW w:w="8744" w:type="dxa"/>
            <w:vAlign w:val="center"/>
          </w:tcPr>
          <w:p w14:paraId="5F1C2CF5" w14:textId="77777777" w:rsidR="0037059A" w:rsidRPr="0037059A" w:rsidRDefault="0037059A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Bada się trwałość projektu:</w:t>
            </w:r>
          </w:p>
          <w:p w14:paraId="56F5A2CC" w14:textId="77777777" w:rsidR="0037059A" w:rsidRPr="0037059A" w:rsidRDefault="0037059A" w:rsidP="00EA548A">
            <w:pPr>
              <w:numPr>
                <w:ilvl w:val="0"/>
                <w:numId w:val="7"/>
              </w:numPr>
              <w:spacing w:after="0" w:line="240" w:lineRule="auto"/>
              <w:ind w:left="42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instytucjonalną,</w:t>
            </w:r>
          </w:p>
          <w:p w14:paraId="28734640" w14:textId="77777777" w:rsidR="0037059A" w:rsidRPr="0037059A" w:rsidRDefault="0037059A" w:rsidP="00EA548A">
            <w:pPr>
              <w:numPr>
                <w:ilvl w:val="0"/>
                <w:numId w:val="7"/>
              </w:numPr>
              <w:spacing w:before="100" w:beforeAutospacing="1" w:after="40" w:line="240" w:lineRule="auto"/>
              <w:ind w:left="42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organizacyjną.</w:t>
            </w:r>
          </w:p>
          <w:p w14:paraId="695ACC6E" w14:textId="77777777" w:rsidR="0037059A" w:rsidRPr="0037059A" w:rsidRDefault="0037059A" w:rsidP="007677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Badana jest kompletność dokumentacji złożonej przez wnioskodawcę dla potrzeb weryfikacji spełniania kryterium.</w:t>
            </w:r>
          </w:p>
          <w:p w14:paraId="478DB228" w14:textId="42D3A621" w:rsidR="0037059A" w:rsidRPr="0037059A" w:rsidRDefault="0037059A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21F88C90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37059A" w:rsidRPr="0037059A" w14:paraId="46F26BAC" w14:textId="6DCAF075" w:rsidTr="0037059A">
        <w:trPr>
          <w:trHeight w:val="2755"/>
        </w:trPr>
        <w:tc>
          <w:tcPr>
            <w:tcW w:w="519" w:type="dxa"/>
            <w:noWrap/>
            <w:vAlign w:val="center"/>
          </w:tcPr>
          <w:p w14:paraId="51AD8B9A" w14:textId="7ACB8239" w:rsidR="0037059A" w:rsidRPr="0037059A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45" w:type="dxa"/>
            <w:vAlign w:val="center"/>
          </w:tcPr>
          <w:p w14:paraId="09D17BA0" w14:textId="4E5A131C" w:rsidR="0037059A" w:rsidRPr="0037059A" w:rsidRDefault="0037059A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Adekwatność i realność wybranych wskaźników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>w kontekście celu projektu</w:t>
            </w:r>
          </w:p>
        </w:tc>
        <w:tc>
          <w:tcPr>
            <w:tcW w:w="8744" w:type="dxa"/>
            <w:vAlign w:val="center"/>
          </w:tcPr>
          <w:p w14:paraId="50EF00F1" w14:textId="77777777" w:rsidR="0037059A" w:rsidRPr="0037059A" w:rsidRDefault="0037059A" w:rsidP="006B73F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Sprawdza się, czy wybrane wskaźniki w sposób kompleksowy opisują zakres rzeczowy i charakter projektu, mierząc założone cele, oraz czy ich wartości docelowe są realne do osiągnięcia. Ocena uwzględnia zgodność wskaźników z celami projektu, realność wartości docelowych w kontekście budżetu, czasu, miejsca realizacji, kondycji finansowej Wnioskodawcy oraz innych kluczowych czynników.</w:t>
            </w:r>
          </w:p>
          <w:p w14:paraId="44805316" w14:textId="6B15B3A3" w:rsidR="0037059A" w:rsidRPr="0037059A" w:rsidRDefault="0037059A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 dofinansowanie i załączników i/lub wyjaśnień udzielonych przez Wnioskodawcę </w:t>
            </w:r>
          </w:p>
        </w:tc>
        <w:tc>
          <w:tcPr>
            <w:tcW w:w="3401" w:type="dxa"/>
            <w:vAlign w:val="center"/>
          </w:tcPr>
          <w:p w14:paraId="0A00420C" w14:textId="6EA700BB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37059A" w:rsidRPr="0037059A" w14:paraId="49F00735" w14:textId="41A554CA" w:rsidTr="0037059A">
        <w:trPr>
          <w:trHeight w:val="564"/>
        </w:trPr>
        <w:tc>
          <w:tcPr>
            <w:tcW w:w="519" w:type="dxa"/>
            <w:noWrap/>
            <w:vAlign w:val="center"/>
          </w:tcPr>
          <w:p w14:paraId="5132ADAA" w14:textId="7E89258B" w:rsidR="0037059A" w:rsidRPr="0037059A" w:rsidRDefault="0037059A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26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03D2CC0" w14:textId="1C3B10EE" w:rsidR="0037059A" w:rsidRPr="0037059A" w:rsidRDefault="0037059A" w:rsidP="00323E2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Projekt będzie miał pozytywny wpływ na </w:t>
            </w:r>
            <w:r w:rsidR="000D45A4">
              <w:rPr>
                <w:rFonts w:asciiTheme="minorHAnsi" w:hAnsiTheme="minorHAnsi" w:cstheme="minorHAnsi"/>
                <w:sz w:val="24"/>
                <w:szCs w:val="24"/>
              </w:rPr>
              <w:t xml:space="preserve">realizację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zasad</w:t>
            </w:r>
            <w:r w:rsidR="000D45A4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równości szans i niedyskryminacji,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w tym dostępność dla osób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>z niepełnosprawnościami</w:t>
            </w:r>
          </w:p>
        </w:tc>
        <w:tc>
          <w:tcPr>
            <w:tcW w:w="87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EA7AFE" w14:textId="21052E8A" w:rsidR="0037059A" w:rsidRPr="0037059A" w:rsidRDefault="0037059A" w:rsidP="008D6FA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Sprawdza się, czy Wnioskodawca wykazał, że projekt będzie miał pozytywny wpływ na </w:t>
            </w:r>
            <w:r w:rsidR="000D45A4">
              <w:rPr>
                <w:rFonts w:asciiTheme="minorHAnsi" w:hAnsiTheme="minorHAnsi" w:cstheme="minorHAnsi"/>
                <w:sz w:val="24"/>
                <w:szCs w:val="24"/>
              </w:rPr>
              <w:t xml:space="preserve">realizację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zasad</w:t>
            </w:r>
            <w:r w:rsidR="000D45A4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równości szans i niedyskryminacji, w tym dostępność dla osób z niepełnoprawnościami. Przez pozytywny wpływ należy rozumieć: zapewnienie dostępności infrastruktury, środków transportu, towarów, usług, technologii i systemów informacyjno-komunikacyjnych oraz wszelkich innych produktów projektów (w tym także usług), które nie zostały uznane za neutralne, dla wszystkich ich użytkowników/użytkowniczek, zgodnie ze standardami dostępności dla polityki spójności 2021-2027, stanowiącymi załącznik nr 2 do Wytycznych dotyczących realizacji zasad równościowych w ramach funduszy unijnych na lata 2021-2027. Ponadto, bada się zgodność projektu z koncepcją uniwersalnego projektowania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w przypadku stworzenia nowych produktów, stosowania racjonalnych usprawnień,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o ile wymaga tego charakter projektu.  Sprawdza się, czy wytworzona w ramach projektu infrastruktura zwiększa dostępność i eliminuje bariery dla osób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niepełnosprawnych. Bada się, czy założenia projektowe uwzględniają równy dostęp dla wszystkich, z uwzględnieniem potrzeb tych użytkowników, których funkcjonowanie jest w jakimś aspekcie ograniczone. Dopuszcza się, w uzasadnionych przypadkach, neutralny wpływ produktów projektu (w tym także </w:t>
            </w:r>
            <w:proofErr w:type="gramStart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usług)  na</w:t>
            </w:r>
            <w:proofErr w:type="gramEnd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zasadę równości szans i niedyskryminacji, w tym dostępność dla osób z niepełnosprawnościami. Jeżeli Wnioskodawca uznaje, że któryś z produktów projektu (w tym także </w:t>
            </w:r>
            <w:proofErr w:type="gramStart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usług)  ma</w:t>
            </w:r>
            <w:proofErr w:type="gramEnd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neutralny wpływ na realizację tej zasady, wówczas taka deklaracja wraz z uzasadnieniem musi być zamieszczona w treści wniosku o dofinansowanie. W takim przypadku ocenione zostanie, czy ww. uzasadnienie można uznać za adekwatne i wystarczające. Uznanie neutralności określonych produktów (usług) projektu nie zwalnia jednak beneficjenta ze stosowania standardów dostępności dla realizacji pozostałej części projektu, dla której standardy dostępności mają zastosowanie. </w:t>
            </w:r>
          </w:p>
          <w:p w14:paraId="36EA42FF" w14:textId="6E724BFD" w:rsidR="0037059A" w:rsidRPr="0037059A" w:rsidRDefault="0037059A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5418F57F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7059A" w:rsidRPr="0037059A" w14:paraId="27782FBD" w14:textId="281DDD02" w:rsidTr="0037059A">
        <w:trPr>
          <w:trHeight w:val="564"/>
        </w:trPr>
        <w:tc>
          <w:tcPr>
            <w:tcW w:w="519" w:type="dxa"/>
            <w:noWrap/>
            <w:vAlign w:val="center"/>
          </w:tcPr>
          <w:p w14:paraId="185162FC" w14:textId="31DA2AE9" w:rsidR="0037059A" w:rsidRPr="0037059A" w:rsidRDefault="0037059A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26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4F1227" w14:textId="7E052590" w:rsidR="0037059A" w:rsidRPr="0037059A" w:rsidRDefault="0037059A" w:rsidP="00EA548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zasadą równości kobiet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>i mężczyzn</w:t>
            </w:r>
          </w:p>
        </w:tc>
        <w:tc>
          <w:tcPr>
            <w:tcW w:w="87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2446114" w14:textId="77777777" w:rsidR="0037059A" w:rsidRPr="0037059A" w:rsidRDefault="0037059A" w:rsidP="008D6FA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Sprawdza się, czy Wnioskodawca wykazał, że projekt będzie zgodny z zasadą równości mężczyzn i kobiet. Przez zgodność z tą zasadą należy rozumieć, z jednej strony zaplanowanie takich działań w projekcie, które wpłyną na wyrównywanie szans danej płci będącej w gorszym położeniu (o ile takie nierówności zostały zdiagnozowane w projekcie). </w:t>
            </w:r>
          </w:p>
          <w:p w14:paraId="457802E9" w14:textId="3BB15CA5" w:rsidR="0037059A" w:rsidRPr="0037059A" w:rsidRDefault="0037059A" w:rsidP="009346ED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Z drugiej strony zaś stworzenie takich mechanizmów, aby na żadnym etapie wdrażania projektu nie dochodziło do dyskryminacji i wykluczenia ze względu na płeć. Zasada ta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ma prowadzić do podejmowania działań na rzecz osiągnięcia stanu, w którym kobietom i mężczyznom przypisuje się taką samą wartość społeczną, równe prawa i równe obowiązki oraz gdy mają oni równy dostęp do </w:t>
            </w:r>
            <w:proofErr w:type="gramStart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zasobów</w:t>
            </w:r>
            <w:proofErr w:type="gramEnd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z których mogą korzystać. Zasada ta ma gwarantować możliwość wyboru drogi życiowej bez ograniczeń wynikających ze stereotypów płci.</w:t>
            </w:r>
          </w:p>
          <w:p w14:paraId="28148CF2" w14:textId="58EC1E94" w:rsidR="0037059A" w:rsidRPr="0037059A" w:rsidRDefault="0037059A" w:rsidP="008D6FA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projektu na zasadę równości mężczyzn i kobiet. Jeżeli Wnioskodawca uznaje, </w:t>
            </w:r>
            <w:proofErr w:type="gramStart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że  projekt</w:t>
            </w:r>
            <w:proofErr w:type="gramEnd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ma neutralny wpływ na realizację tej zasady, wówczas musi uzasadnić we wniosku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>o dofinansowanie projektu, dlaczego projekt nie jest w stanie zrealizować jakichkolwiek działań w zakresie spełniania ww. zasady. W takim przypadku ocenione zostanie, czy ww. uzasadnienie można uznać za adekwatne i wystarczające.</w:t>
            </w:r>
          </w:p>
          <w:p w14:paraId="5CE73D21" w14:textId="19AD0C2E" w:rsidR="0037059A" w:rsidRPr="0037059A" w:rsidRDefault="0037059A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44B5D426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7059A" w:rsidRPr="0037059A" w14:paraId="0F6BDD6C" w14:textId="4DBF06AA" w:rsidTr="0037059A">
        <w:trPr>
          <w:trHeight w:val="564"/>
        </w:trPr>
        <w:tc>
          <w:tcPr>
            <w:tcW w:w="519" w:type="dxa"/>
            <w:noWrap/>
            <w:vAlign w:val="center"/>
          </w:tcPr>
          <w:p w14:paraId="48CC2F64" w14:textId="1EB90AE4" w:rsidR="0037059A" w:rsidRPr="0037059A" w:rsidRDefault="0037059A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26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70F9E2" w14:textId="5ED720D3" w:rsidR="0037059A" w:rsidRPr="0037059A" w:rsidRDefault="0037059A" w:rsidP="009346E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Zgodność projektu z Kartą Praw Podstawowych Unii Europejskiej z dnia </w:t>
            </w:r>
            <w:r w:rsidR="000D45A4" w:rsidRPr="004446BE">
              <w:rPr>
                <w:rFonts w:cstheme="minorHAnsi"/>
                <w:sz w:val="24"/>
                <w:szCs w:val="24"/>
              </w:rPr>
              <w:t>7 czerwca 2016 r. (Dz. Urz. UE C 202 z 07.06.2016, str. 389</w:t>
            </w:r>
            <w:proofErr w:type="gramStart"/>
            <w:r w:rsidR="000D45A4" w:rsidRPr="004446BE">
              <w:rPr>
                <w:rFonts w:cstheme="minorHAnsi"/>
                <w:sz w:val="24"/>
                <w:szCs w:val="24"/>
              </w:rPr>
              <w:t>)</w:t>
            </w:r>
            <w:r w:rsidR="000D45A4">
              <w:rPr>
                <w:rFonts w:cstheme="minorHAnsi"/>
                <w:sz w:val="24"/>
                <w:szCs w:val="24"/>
              </w:rPr>
              <w:t xml:space="preserve">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proofErr w:type="gramEnd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w zakresie odnoszącym się do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sposobu realizacji, zakresu projektu i Wnioskodawcy.</w:t>
            </w:r>
          </w:p>
        </w:tc>
        <w:tc>
          <w:tcPr>
            <w:tcW w:w="87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2F1D81" w14:textId="7E131D6F" w:rsidR="0037059A" w:rsidRPr="0037059A" w:rsidRDefault="0037059A" w:rsidP="00F829CD">
            <w:pPr>
              <w:spacing w:after="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Sprawdza się czy we wniosku wskazano informacje potwierdzające zgodność </w:t>
            </w:r>
            <w:r w:rsidRPr="0037059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projektu z Kartą Praw Podstawowych Unii Europejskiej z dnia </w:t>
            </w:r>
            <w:r w:rsidR="000D45A4" w:rsidRPr="004446BE">
              <w:rPr>
                <w:rFonts w:cstheme="minorHAnsi"/>
                <w:sz w:val="24"/>
                <w:szCs w:val="24"/>
              </w:rPr>
              <w:t>7 czerwca 2016 r.</w:t>
            </w:r>
          </w:p>
          <w:p w14:paraId="5B8BC5DD" w14:textId="3E5D22E9" w:rsidR="0037059A" w:rsidRPr="0037059A" w:rsidRDefault="0037059A" w:rsidP="00F829CD">
            <w:pPr>
              <w:spacing w:after="0" w:line="259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Zgodność </w:t>
            </w:r>
            <w:r w:rsidRPr="0037059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projektu z Kartą Praw Podstawowych Unii Europejskiej z dnia </w:t>
            </w:r>
            <w:r w:rsidR="000D45A4" w:rsidRPr="004446BE">
              <w:rPr>
                <w:rFonts w:cstheme="minorHAnsi"/>
                <w:sz w:val="24"/>
                <w:szCs w:val="24"/>
              </w:rPr>
              <w:t>7 czerwca 2016 r.</w:t>
            </w:r>
            <w:r w:rsidRPr="0037059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 etapie oceny wniosku należy rozumieć jako brak sprzeczności pomiędzy zapisami projektu a wymogami tego dokumentu lub stwierdzenie, że te wymagania są neutralne wobec zakresu i zawartości projektu.</w:t>
            </w:r>
          </w:p>
          <w:p w14:paraId="5B1C7D74" w14:textId="3DB546BB" w:rsidR="0037059A" w:rsidRPr="0037059A" w:rsidRDefault="0037059A" w:rsidP="008C053A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7059A">
              <w:rPr>
                <w:rFonts w:cs="Calibri"/>
                <w:sz w:val="24"/>
                <w:szCs w:val="24"/>
              </w:rPr>
              <w:t xml:space="preserve">W sytuacji, gdy beneficjentem jest jednostka samorządu terytorialnego (lub podmiot przez nią kontrolowany lub od niej zależny), weryfikuje się, czy nie podjęła jakichkolwiek </w:t>
            </w:r>
            <w:r w:rsidRPr="0037059A">
              <w:rPr>
                <w:rFonts w:cs="Calibri"/>
                <w:sz w:val="24"/>
                <w:szCs w:val="24"/>
              </w:rPr>
              <w:lastRenderedPageBreak/>
              <w:t xml:space="preserve">działań dyskryminujących, sprzecznych z zasadami, o których mowa w art. 9 ust. 3 rozporządzenia </w:t>
            </w:r>
            <w:r w:rsidR="004D38B5" w:rsidRPr="004D38B5">
              <w:rPr>
                <w:rFonts w:cs="Calibri"/>
                <w:sz w:val="24"/>
                <w:szCs w:val="24"/>
              </w:rPr>
              <w:t xml:space="preserve">Parlamentu Europejskiego i Rady (UE) </w:t>
            </w:r>
            <w:r w:rsidRPr="0037059A">
              <w:rPr>
                <w:rFonts w:cs="Calibri"/>
                <w:sz w:val="24"/>
                <w:szCs w:val="24"/>
              </w:rPr>
              <w:t>nr 2021/1060</w:t>
            </w:r>
            <w:r w:rsidR="004D38B5" w:rsidRPr="004D38B5">
              <w:rPr>
                <w:rFonts w:cs="Calibri"/>
                <w:sz w:val="24"/>
                <w:szCs w:val="24"/>
              </w:rPr>
              <w:t xml:space="preserve"> z dnia 24 czerwca 2021 r. (rozporządzenie ogólne).</w:t>
            </w:r>
          </w:p>
          <w:p w14:paraId="005D15F7" w14:textId="77777777" w:rsidR="004D38B5" w:rsidRPr="004D38B5" w:rsidRDefault="004D38B5" w:rsidP="004D38B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D38B5">
              <w:rPr>
                <w:rFonts w:asciiTheme="minorHAnsi" w:hAnsiTheme="minorHAnsi" w:cstheme="minorHAnsi"/>
                <w:sz w:val="24"/>
                <w:szCs w:val="24"/>
              </w:rPr>
              <w:t>Za działania mogące mieć znamiona dyskryminujących uznaje się takie działania, które są systematyczne i bezpośrednio powiązane z wdrażaniem funduszy objętych rozporządzeniem ogólnym.</w:t>
            </w:r>
          </w:p>
          <w:p w14:paraId="21BDBCE6" w14:textId="77777777" w:rsidR="0037059A" w:rsidRPr="0037059A" w:rsidRDefault="0037059A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8DB565" w14:textId="6B48ED53" w:rsidR="0037059A" w:rsidRPr="0037059A" w:rsidRDefault="0037059A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jest weryfikowane na podstawie oświadczenia złożonego przez Wnioskodawcę.</w:t>
            </w:r>
          </w:p>
          <w:p w14:paraId="3C749BF7" w14:textId="267B0B6F" w:rsidR="0037059A" w:rsidRPr="0037059A" w:rsidRDefault="0037059A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60901604" w14:textId="77777777" w:rsidR="0037059A" w:rsidRPr="0037059A" w:rsidRDefault="0037059A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7059A" w:rsidRPr="0037059A" w14:paraId="7100EA50" w14:textId="32C073CB" w:rsidTr="0037059A">
        <w:trPr>
          <w:trHeight w:val="3394"/>
        </w:trPr>
        <w:tc>
          <w:tcPr>
            <w:tcW w:w="519" w:type="dxa"/>
            <w:noWrap/>
            <w:vAlign w:val="center"/>
          </w:tcPr>
          <w:p w14:paraId="381A35D4" w14:textId="59726DFA" w:rsidR="0037059A" w:rsidRPr="0037059A" w:rsidRDefault="0037059A" w:rsidP="00F829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D90FEB2" w14:textId="77777777" w:rsidR="0037059A" w:rsidRPr="0037059A" w:rsidRDefault="0037059A" w:rsidP="009346E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Konwencją o Prawach Osób Niepełnosprawnych, sporządzoną w Nowym Jorku dnia 13 grudnia 2006 r. </w:t>
            </w:r>
          </w:p>
          <w:p w14:paraId="06921404" w14:textId="600E5B59" w:rsidR="0037059A" w:rsidRPr="0037059A" w:rsidRDefault="0037059A" w:rsidP="009346E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(Dz. U. z 2012 r. poz. 1169, z </w:t>
            </w:r>
            <w:proofErr w:type="spellStart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. zm.), w zakresie odnoszącym się do sposobu realizacji, zakresu projektu i Wnioskodawcy.</w:t>
            </w:r>
          </w:p>
        </w:tc>
        <w:tc>
          <w:tcPr>
            <w:tcW w:w="87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D169188" w14:textId="307C0425" w:rsidR="0037059A" w:rsidRPr="0037059A" w:rsidRDefault="0037059A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Sprawdza się czy we wniosku wskazano informacje potwierdzające zgodność projektu z Konwencją o Prawach Osób Niepełnosprawnych.</w:t>
            </w:r>
          </w:p>
          <w:p w14:paraId="1F515CDE" w14:textId="5C925B48" w:rsidR="0037059A" w:rsidRPr="0037059A" w:rsidRDefault="0037059A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 wymogami tego dokumentu lub stwierdzenie, że te wymagania są neutralne wobec zakresu i zawartości projektu.</w:t>
            </w:r>
          </w:p>
          <w:p w14:paraId="0F6481E0" w14:textId="15F1E2B2" w:rsidR="0037059A" w:rsidRPr="0037059A" w:rsidRDefault="0037059A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i/lub wyjaśnień udzielonych przez Wnioskodawcę.</w:t>
            </w:r>
          </w:p>
        </w:tc>
        <w:tc>
          <w:tcPr>
            <w:tcW w:w="3401" w:type="dxa"/>
            <w:vAlign w:val="center"/>
          </w:tcPr>
          <w:p w14:paraId="1DD71DF5" w14:textId="77777777" w:rsidR="0037059A" w:rsidRPr="0037059A" w:rsidRDefault="0037059A" w:rsidP="00F829CD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37059A" w:rsidRPr="0037059A" w14:paraId="46B3EFF3" w14:textId="1E7446B0" w:rsidTr="00F13661">
        <w:trPr>
          <w:trHeight w:val="923"/>
        </w:trPr>
        <w:tc>
          <w:tcPr>
            <w:tcW w:w="519" w:type="dxa"/>
            <w:noWrap/>
            <w:vAlign w:val="center"/>
          </w:tcPr>
          <w:p w14:paraId="75AFE4DC" w14:textId="7CD61B90" w:rsidR="0037059A" w:rsidRPr="0037059A" w:rsidRDefault="0037059A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2645" w:type="dxa"/>
            <w:vAlign w:val="center"/>
          </w:tcPr>
          <w:p w14:paraId="77EBD38A" w14:textId="392277D7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Wpływ projektu na zasadę zrównoważonego rozwoju</w:t>
            </w:r>
          </w:p>
        </w:tc>
        <w:tc>
          <w:tcPr>
            <w:tcW w:w="8744" w:type="dxa"/>
            <w:tcBorders>
              <w:right w:val="single" w:sz="4" w:space="0" w:color="70AD47" w:themeColor="accent6"/>
            </w:tcBorders>
            <w:vAlign w:val="center"/>
          </w:tcPr>
          <w:p w14:paraId="7A5C400E" w14:textId="77777777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Wnioskodawca wykazał, że projekt będzie miał pozytywny lub w uzasadnionych przypadkach neutralny wpływ na </w:t>
            </w:r>
            <w:proofErr w:type="gramStart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zasadę  zrównoważonego</w:t>
            </w:r>
            <w:proofErr w:type="gramEnd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rozwoju. Głównym założeniem tej zasady jest zachowanie zasobów i walorów środowiska w stanie zapewniającym trwałe i </w:t>
            </w:r>
            <w:proofErr w:type="gramStart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nie doznające</w:t>
            </w:r>
            <w:proofErr w:type="gramEnd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uszczerbku możliwości korzystania z nich zarówno przez obecne, jak i przyszłe pokolenia. Działania te muszą jednocześnie nie stać w sprzeczności z zachowaniem trwałości procesów przyrodniczych oraz naturalnej różnorodności biologicznej. W praktyce może to oznaczać podejmowanie działań wykraczających poza obowiązujące przepisy prawa krajowego jak i UE w zakresie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ochrony środowiska, dotyczyć może także wdrożonych w jednostkach systemów zarządzania środowiskiem oraz stosowania zielonych zamówień publicznych. Państwa członkowskie i Komisja zapewniają, aby wymogi ochrony środowiska, efektywnego gospodarowania zasobami, dostosowanie do zmian klimatu i łagodzenia jej skutków, różnorodność biologiczna, odporność na klęski żywiołowe oraz zapobieganie ryzyku i zarządzanie ryzykiem były promowane podczas przygotowania i wdrażania umów partnerstwa i programów.</w:t>
            </w:r>
          </w:p>
          <w:p w14:paraId="401247D5" w14:textId="77777777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Produkty i efekty projektów powinny spełniać te wymogi lub w uzasadnionych przypadkach być w stosunku do nich neutralne. </w:t>
            </w:r>
          </w:p>
          <w:p w14:paraId="185A7BD7" w14:textId="77777777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Spełnianie wymogów rozwoju zrównoważonego lub neutralność produktu projektu musi wynikać z zapisów wniosku o dofinansowanie. W takim przypadku kryterium uznaje się za spełnione.</w:t>
            </w:r>
          </w:p>
          <w:p w14:paraId="2D1F4CA5" w14:textId="6A90897F" w:rsidR="0058373F" w:rsidRPr="0058373F" w:rsidRDefault="0037059A" w:rsidP="0058373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tcBorders>
              <w:right w:val="single" w:sz="4" w:space="0" w:color="70AD47" w:themeColor="accent6"/>
            </w:tcBorders>
          </w:tcPr>
          <w:p w14:paraId="58609E95" w14:textId="77777777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Kryterium bezwzględne</w:t>
            </w:r>
          </w:p>
          <w:p w14:paraId="24CC24FE" w14:textId="0DB0958B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(0/1)</w:t>
            </w:r>
          </w:p>
        </w:tc>
      </w:tr>
      <w:tr w:rsidR="0037059A" w:rsidRPr="0037059A" w14:paraId="50B57EDD" w14:textId="420DBAAD" w:rsidTr="0037059A">
        <w:trPr>
          <w:trHeight w:val="771"/>
        </w:trPr>
        <w:tc>
          <w:tcPr>
            <w:tcW w:w="519" w:type="dxa"/>
            <w:noWrap/>
            <w:vAlign w:val="center"/>
          </w:tcPr>
          <w:p w14:paraId="23E024DF" w14:textId="2123BD50" w:rsidR="0037059A" w:rsidRPr="0037059A" w:rsidRDefault="0037059A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2645" w:type="dxa"/>
            <w:vAlign w:val="center"/>
          </w:tcPr>
          <w:p w14:paraId="68F33DE0" w14:textId="4A65C00D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zasadą ‘nie czyń znaczących szkód’ DNSH </w:t>
            </w:r>
          </w:p>
        </w:tc>
        <w:tc>
          <w:tcPr>
            <w:tcW w:w="8744" w:type="dxa"/>
            <w:tcBorders>
              <w:right w:val="single" w:sz="4" w:space="0" w:color="70AD47" w:themeColor="accent6"/>
            </w:tcBorders>
            <w:vAlign w:val="center"/>
          </w:tcPr>
          <w:p w14:paraId="55BFD4DD" w14:textId="77777777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Sprawdza się, czy projekt wpisuje się w „typy przedsięwzięć” na poziomie FEO 2021-2027, dla których zasada DNSH jest spełniona. </w:t>
            </w:r>
          </w:p>
          <w:p w14:paraId="3B560B69" w14:textId="77777777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Sprawdzenie polega na weryfikacji czy projekt wypełnia wszystkie wymogi nałożone na dany typ działań w analizie DNSH. Kryterium uznaje się za spełnione tylko </w:t>
            </w:r>
            <w:proofErr w:type="gramStart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wtedy</w:t>
            </w:r>
            <w:proofErr w:type="gramEnd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gdy dane przedsięwzięcie wypełnia wszystkie wymogi dla danego typu </w:t>
            </w:r>
            <w:proofErr w:type="gramStart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proofErr w:type="gramEnd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czyli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nie ma wpływu na żaden z sześciu celów środowiskowych, wynikających z art. 9 rozporządzenia w sprawie taksonomii</w:t>
            </w:r>
            <w:r w:rsidRPr="0037059A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"/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F008EE9" w14:textId="3C588116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W przypadku przedsięwzięć inwestycyjnych weryfikuje się również, czy w trakcie realizacji tych przedsięwzięć stosowane będą standardy ochrony drzew i zieleni.</w:t>
            </w:r>
          </w:p>
          <w:p w14:paraId="5699A36C" w14:textId="0CB977F4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401" w:type="dxa"/>
            <w:tcBorders>
              <w:right w:val="single" w:sz="4" w:space="0" w:color="70AD47" w:themeColor="accent6"/>
            </w:tcBorders>
          </w:tcPr>
          <w:p w14:paraId="062683F9" w14:textId="77777777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bezwzględne </w:t>
            </w:r>
          </w:p>
          <w:p w14:paraId="5F1F5966" w14:textId="0EA19970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(0/1)</w:t>
            </w:r>
          </w:p>
        </w:tc>
      </w:tr>
      <w:tr w:rsidR="0037059A" w:rsidRPr="0037059A" w14:paraId="6C5CFF93" w14:textId="006F15F5" w:rsidTr="0037059A">
        <w:trPr>
          <w:trHeight w:val="2189"/>
        </w:trPr>
        <w:tc>
          <w:tcPr>
            <w:tcW w:w="519" w:type="dxa"/>
            <w:noWrap/>
            <w:vAlign w:val="center"/>
          </w:tcPr>
          <w:p w14:paraId="49346E4F" w14:textId="2177E495" w:rsidR="0037059A" w:rsidRPr="0037059A" w:rsidRDefault="0037059A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2645" w:type="dxa"/>
            <w:vAlign w:val="center"/>
          </w:tcPr>
          <w:p w14:paraId="7B789BF8" w14:textId="68881715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br/>
              <w:t>z krajowymi oraz unijnymi przepisami ochrony środowiska</w:t>
            </w:r>
          </w:p>
        </w:tc>
        <w:tc>
          <w:tcPr>
            <w:tcW w:w="8744" w:type="dxa"/>
            <w:tcBorders>
              <w:right w:val="single" w:sz="4" w:space="0" w:color="70AD47" w:themeColor="accent6"/>
            </w:tcBorders>
            <w:vAlign w:val="center"/>
          </w:tcPr>
          <w:p w14:paraId="47EA5FB6" w14:textId="77777777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W ramach kryterium bada się czy projekt został przygotowany (albo jest przygotowywany) zgodnie z prawem dotyczącym ochrony środowiska, w tym:</w:t>
            </w:r>
          </w:p>
          <w:p w14:paraId="0566B637" w14:textId="50FFCE58" w:rsidR="0037059A" w:rsidRPr="0037059A" w:rsidRDefault="0037059A" w:rsidP="00DA2A15">
            <w:pPr>
              <w:pStyle w:val="Akapitzlist"/>
              <w:numPr>
                <w:ilvl w:val="0"/>
                <w:numId w:val="10"/>
              </w:numPr>
              <w:spacing w:before="120" w:after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ustawą z dnia 3 października 2008 r. o udostępnianiu informacji o środowisku i jego ochronie, udziale społeczeństwa w ochronie środowiska oraz o ocenach oddziaływania na środowisko i Dyrektywą Parlamentu Europejskiego i Rady 2011/92/UE z dnia 13 grudnia 2011 r. w sprawie oceny skutków wywieranych przez niektóre przedsięwzięcia publiczne i prywatne na środowisko; </w:t>
            </w:r>
          </w:p>
          <w:p w14:paraId="50692170" w14:textId="696ABF4B" w:rsidR="0037059A" w:rsidRPr="0037059A" w:rsidRDefault="0037059A" w:rsidP="00DA2A15">
            <w:pPr>
              <w:pStyle w:val="Akapitzlist"/>
              <w:numPr>
                <w:ilvl w:val="0"/>
                <w:numId w:val="10"/>
              </w:numPr>
              <w:spacing w:before="120" w:after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ustawą z dnia 27 kwietnia 2001 r. Prawo ochrony; </w:t>
            </w:r>
          </w:p>
          <w:p w14:paraId="6C34AE23" w14:textId="2A5D06BB" w:rsidR="0037059A" w:rsidRPr="0037059A" w:rsidRDefault="0037059A" w:rsidP="00DA2A15">
            <w:pPr>
              <w:pStyle w:val="Akapitzlist"/>
              <w:numPr>
                <w:ilvl w:val="0"/>
                <w:numId w:val="10"/>
              </w:numPr>
              <w:spacing w:before="120" w:after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ustawą z dnia 16 kwietnia 2004 r. o ochronie przyrody i Dyrektywą Rady 92/43/EWG z dnia 21 maja 1992 r. w sprawie ochrony siedlisk przyrodniczych oraz dzikiej fauny i flory; </w:t>
            </w:r>
          </w:p>
          <w:p w14:paraId="24F3354D" w14:textId="4DD7F053" w:rsidR="0037059A" w:rsidRPr="0037059A" w:rsidRDefault="0037059A" w:rsidP="00DA2A15">
            <w:pPr>
              <w:pStyle w:val="Akapitzlist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ustawą z dnia 20 lipca 2017 r. Prawo wodne i Dyrektywą Parlamentu Europejskiego i Rady 2000/60/WE z dnia 23 października 2000 r. ustanawiająca ramy wspólnotowego działania w dziedzinie polityki wodnej;</w:t>
            </w:r>
          </w:p>
          <w:p w14:paraId="3C09567F" w14:textId="702B896D" w:rsidR="0037059A" w:rsidRPr="0037059A" w:rsidRDefault="0037059A" w:rsidP="00DA2A15">
            <w:pPr>
              <w:pStyle w:val="Akapitzlist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Wytycznymi w sprawie działań naprawczych w odniesieniu do projektów współfinansowanych w okresie programowania 2014–2020 oraz ubiegających się o współfinansowanie w okresie 2021–2027 z Funduszy UE, dotkniętych naruszeniem 2016/2046 w zakresie specustaw, dla których prowadzone jest postępowanie w sprawie oceny oddziaływania na środowisko (</w:t>
            </w:r>
            <w:proofErr w:type="gramStart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Ares(</w:t>
            </w:r>
            <w:proofErr w:type="gramEnd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2021)1432319 z 23.02.</w:t>
            </w:r>
            <w:proofErr w:type="gramStart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2021r.</w:t>
            </w:r>
            <w:proofErr w:type="gramEnd"/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  <w:p w14:paraId="5D04800A" w14:textId="24AFF1D7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401" w:type="dxa"/>
            <w:tcBorders>
              <w:right w:val="single" w:sz="4" w:space="0" w:color="70AD47" w:themeColor="accent6"/>
            </w:tcBorders>
          </w:tcPr>
          <w:p w14:paraId="6C893EF0" w14:textId="77777777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bezwzględne </w:t>
            </w:r>
          </w:p>
          <w:p w14:paraId="10B0DEB8" w14:textId="5485B555" w:rsidR="0037059A" w:rsidRPr="0037059A" w:rsidRDefault="0037059A" w:rsidP="006E2F0D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(0/1) </w:t>
            </w:r>
          </w:p>
        </w:tc>
      </w:tr>
      <w:tr w:rsidR="0037059A" w:rsidRPr="0037059A" w14:paraId="3F798364" w14:textId="549315DC" w:rsidTr="00F13661">
        <w:trPr>
          <w:trHeight w:val="922"/>
        </w:trPr>
        <w:tc>
          <w:tcPr>
            <w:tcW w:w="519" w:type="dxa"/>
            <w:noWrap/>
            <w:vAlign w:val="center"/>
          </w:tcPr>
          <w:p w14:paraId="10A07028" w14:textId="26FFA5A4" w:rsidR="0037059A" w:rsidRPr="0037059A" w:rsidRDefault="0037059A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2645" w:type="dxa"/>
            <w:vAlign w:val="center"/>
          </w:tcPr>
          <w:p w14:paraId="75FB5B43" w14:textId="718A4780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Odporność infrastruktury na zmiany klimatu (jeśli dotyczy)</w:t>
            </w:r>
          </w:p>
        </w:tc>
        <w:tc>
          <w:tcPr>
            <w:tcW w:w="8744" w:type="dxa"/>
            <w:tcBorders>
              <w:right w:val="single" w:sz="4" w:space="0" w:color="70AD47" w:themeColor="accent6"/>
            </w:tcBorders>
            <w:vAlign w:val="center"/>
          </w:tcPr>
          <w:p w14:paraId="457F8794" w14:textId="77777777" w:rsidR="005F77C7" w:rsidRPr="005F77C7" w:rsidRDefault="005F77C7" w:rsidP="005F77C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C7">
              <w:rPr>
                <w:rFonts w:asciiTheme="minorHAnsi" w:hAnsiTheme="minorHAnsi" w:cstheme="minorHAnsi"/>
                <w:sz w:val="24"/>
                <w:szCs w:val="24"/>
              </w:rPr>
              <w:t xml:space="preserve">Weryfikacja polega na ocenie czy projekt jest zgodny z art. 73 ust. 2 lit. j) Rozporządzenie Parlamentu Europejskiego I Rady (UE) 2021/1060 z dnia 24 czerwca 2021 r. tzn. czy inwestycja w infrastrukturę o przewidywanej trwałości wynoszącej co najmniej pięć lat przewidziana w ramach projektu jest odporna na zmiany klimatu. </w:t>
            </w:r>
          </w:p>
          <w:p w14:paraId="48811DD8" w14:textId="77777777" w:rsidR="005F77C7" w:rsidRPr="005F77C7" w:rsidRDefault="005F77C7" w:rsidP="005F77C7">
            <w:pPr>
              <w:spacing w:after="1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5F77C7">
              <w:rPr>
                <w:rFonts w:asciiTheme="minorHAnsi" w:hAnsiTheme="minorHAnsi" w:cstheme="minorHAnsi"/>
                <w:sz w:val="24"/>
                <w:szCs w:val="24"/>
              </w:rPr>
              <w:t>Weryfikacja przeprowadzana jest na podstawie uzasadnienia odporności przedsięwzięcia na zmiany klimatu</w:t>
            </w:r>
            <w:r w:rsidRPr="005F77C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ootnoteReference w:id="2"/>
            </w:r>
            <w:r w:rsidRPr="005F77C7">
              <w:rPr>
                <w:rFonts w:asciiTheme="minorHAnsi" w:hAnsiTheme="minorHAnsi" w:cstheme="minorHAnsi"/>
                <w:sz w:val="24"/>
                <w:szCs w:val="24"/>
              </w:rPr>
              <w:t xml:space="preserve"> przedstawionego we wniosku o dofinansowanie i </w:t>
            </w:r>
            <w:r w:rsidRPr="005F77C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załącznikach. Uzasadnienie odporności przedsięwzięcia na zmiany klimatu powinno być zgodne z metodologią wynikającą z </w:t>
            </w:r>
            <w:r w:rsidRPr="005F77C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Wytycznych Komisji Europejskiej: ZAWIADOMIENIE KOMISJI Wytyczne techniczne dotyczące weryfikacji infrastruktury pod względem wpływu na klimat w latach 2021</w:t>
            </w:r>
            <w:r w:rsidRPr="0016223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–</w:t>
            </w:r>
            <w:r w:rsidRPr="005F77C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2027 (2021/C 373/01).</w:t>
            </w:r>
          </w:p>
          <w:p w14:paraId="46E9040A" w14:textId="5B95D3DF" w:rsidR="0037059A" w:rsidRPr="0037059A" w:rsidRDefault="0037059A" w:rsidP="002F136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1" w:type="dxa"/>
            <w:tcBorders>
              <w:right w:val="single" w:sz="4" w:space="0" w:color="70AD47" w:themeColor="accent6"/>
            </w:tcBorders>
          </w:tcPr>
          <w:p w14:paraId="27FA6F86" w14:textId="77777777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bezwzględne </w:t>
            </w:r>
          </w:p>
          <w:p w14:paraId="744CC048" w14:textId="5EE978CA" w:rsidR="0037059A" w:rsidRPr="0037059A" w:rsidRDefault="0037059A" w:rsidP="006E2F0D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(0/1/)</w:t>
            </w:r>
          </w:p>
        </w:tc>
      </w:tr>
      <w:tr w:rsidR="0037059A" w:rsidRPr="0037059A" w14:paraId="687EE276" w14:textId="70B1D5EE" w:rsidTr="0037059A">
        <w:trPr>
          <w:trHeight w:val="564"/>
        </w:trPr>
        <w:tc>
          <w:tcPr>
            <w:tcW w:w="519" w:type="dxa"/>
            <w:noWrap/>
            <w:vAlign w:val="center"/>
          </w:tcPr>
          <w:p w14:paraId="4B29E87C" w14:textId="5143FC4E" w:rsidR="0037059A" w:rsidRPr="0037059A" w:rsidRDefault="0037059A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26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1C8CCC4" w14:textId="542AFAAC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Poprawność </w:t>
            </w:r>
            <w:r w:rsidR="000D45A4">
              <w:rPr>
                <w:rFonts w:asciiTheme="minorHAnsi" w:hAnsiTheme="minorHAnsi" w:cstheme="minorHAnsi"/>
                <w:sz w:val="24"/>
                <w:szCs w:val="24"/>
              </w:rPr>
              <w:t xml:space="preserve">dokumentacji 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</w:p>
        </w:tc>
        <w:tc>
          <w:tcPr>
            <w:tcW w:w="87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CA5FDC" w14:textId="1A179755" w:rsidR="0037059A" w:rsidRPr="0037059A" w:rsidRDefault="0037059A" w:rsidP="00CB0D3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Sprawdza się, czy dołączona dokumentacja projektowa została przygotowana zgodnie z zapisami Regulaminu wyboru projektów, jest kompletna, spójna i prawidłowo podpisana oraz czy nie zawiera błędów formalno-technicznych.</w:t>
            </w:r>
          </w:p>
          <w:p w14:paraId="721EA13D" w14:textId="16156715" w:rsidR="0037059A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1C1C9AC5" w14:textId="77777777" w:rsidR="0037059A" w:rsidRPr="0037059A" w:rsidRDefault="0037059A" w:rsidP="00DA2A1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5F77C7" w:rsidRPr="0037059A" w14:paraId="4DE2E231" w14:textId="77777777" w:rsidTr="0037059A">
        <w:trPr>
          <w:trHeight w:val="564"/>
        </w:trPr>
        <w:tc>
          <w:tcPr>
            <w:tcW w:w="519" w:type="dxa"/>
            <w:noWrap/>
            <w:vAlign w:val="center"/>
          </w:tcPr>
          <w:p w14:paraId="0316B91F" w14:textId="529BBC62" w:rsidR="005F77C7" w:rsidRPr="0037059A" w:rsidRDefault="005F77C7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26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C8886C" w14:textId="61A084A0" w:rsidR="005F77C7" w:rsidRPr="0037059A" w:rsidRDefault="005F77C7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C7">
              <w:rPr>
                <w:rFonts w:asciiTheme="minorHAnsi" w:hAnsiTheme="minorHAnsi" w:cstheme="minorHAnsi"/>
                <w:sz w:val="24"/>
                <w:szCs w:val="24"/>
              </w:rPr>
              <w:t>Zgodność projektu w tym podstawowych parametrów technicznych z obowiązującymi aktami prawnymi dotyczącymi realizowanej inwestycji</w:t>
            </w:r>
          </w:p>
        </w:tc>
        <w:tc>
          <w:tcPr>
            <w:tcW w:w="87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33B4CD1" w14:textId="77777777" w:rsidR="005F77C7" w:rsidRDefault="005F77C7" w:rsidP="005F77C7">
            <w:pPr>
              <w:spacing w:before="12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 ramach kryterium badane jest czy projekt przygotowany/ przygotowywany jest na podstawie obowiązujących przepisów prawa. Wnioskodawca powinien wykazać możliwość realizacji inwestycji (w tym usług objętych projektem), zgodnie z obowiązującymi aktami prawnymi np. ustawą PZP, prawem budowlanym.</w:t>
            </w:r>
          </w:p>
          <w:p w14:paraId="74FED792" w14:textId="77777777" w:rsidR="005F77C7" w:rsidRDefault="005F77C7" w:rsidP="005F77C7">
            <w:pPr>
              <w:spacing w:before="120" w:after="0"/>
              <w:rPr>
                <w:rFonts w:cs="Calibri"/>
                <w:sz w:val="24"/>
                <w:szCs w:val="24"/>
              </w:rPr>
            </w:pPr>
          </w:p>
          <w:p w14:paraId="6FA10096" w14:textId="77777777" w:rsidR="005F77C7" w:rsidRDefault="005F77C7" w:rsidP="005F77C7">
            <w:pPr>
              <w:spacing w:before="12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Jeżeli realizacja zgłoszonego do objęcia dofinansowaniem projektu rozpoczęła się przed dniem złożenia wniosku o dofinansowanie, oceniane będzie, czy w okresie tym przy realizacji projektu przestrzegano ww. przepisów prawa dotyczących danego projektu.  </w:t>
            </w:r>
          </w:p>
          <w:p w14:paraId="0EA060C6" w14:textId="77777777" w:rsidR="005F77C7" w:rsidRDefault="005F77C7" w:rsidP="005F77C7">
            <w:pPr>
              <w:spacing w:before="120" w:after="0"/>
              <w:rPr>
                <w:rFonts w:cs="Calibri"/>
                <w:sz w:val="24"/>
                <w:szCs w:val="24"/>
              </w:rPr>
            </w:pPr>
          </w:p>
          <w:p w14:paraId="39AD3D29" w14:textId="77777777" w:rsidR="005F77C7" w:rsidRDefault="005F77C7" w:rsidP="005F77C7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W ramach kryterium weryfikuje się także, czy projekt nie jest powiązany z uzasadnioną opinią Komisji Europejskiej (KE) wydaną na podstawie art. 258 Traktatu o funkcjonowaniu Unii Europejskiej (TFUE) kwestionującą zgodność z prawem i prawidłowość wydatków lub wykonania projektu. </w:t>
            </w:r>
          </w:p>
          <w:p w14:paraId="46100E55" w14:textId="77777777" w:rsidR="005F77C7" w:rsidRDefault="005F77C7" w:rsidP="005F77C7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7102B4CF" w14:textId="77777777" w:rsidR="005F77C7" w:rsidRDefault="005F77C7" w:rsidP="005F77C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Kryterium jest niespełnione w przypadku, gdy projekt jest bezpośrednio powiązany z taką opinią, tzn. miałby zostać zrealizowany na podstawie prawa, co do którego KE ma wątpliwości opisane w uzasadnionej opinii wydanej na podstawie ww. artykułu TFUE.</w:t>
            </w:r>
          </w:p>
          <w:p w14:paraId="3D264684" w14:textId="0FDF528D" w:rsidR="005F77C7" w:rsidRPr="0037059A" w:rsidRDefault="005F77C7" w:rsidP="005F77C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006C180A" w14:textId="01B79B8D" w:rsidR="005F77C7" w:rsidRPr="0037059A" w:rsidRDefault="005F77C7" w:rsidP="00DA2A1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807C52" w:rsidRPr="0037059A" w14:paraId="371FF944" w14:textId="77777777" w:rsidTr="0037059A">
        <w:trPr>
          <w:trHeight w:val="564"/>
        </w:trPr>
        <w:tc>
          <w:tcPr>
            <w:tcW w:w="519" w:type="dxa"/>
            <w:noWrap/>
            <w:vAlign w:val="center"/>
          </w:tcPr>
          <w:p w14:paraId="0C50906B" w14:textId="4C3C4CF0" w:rsidR="00807C52" w:rsidRDefault="00807C52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26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EFFA0C0" w14:textId="1071E101" w:rsidR="00807C52" w:rsidRDefault="00807C52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Finansowa</w:t>
            </w:r>
            <w:r w:rsidR="006E4874">
              <w:rPr>
                <w:rFonts w:asciiTheme="minorHAnsi" w:hAnsiTheme="minorHAnsi" w:cstheme="minorHAnsi"/>
                <w:sz w:val="24"/>
                <w:szCs w:val="24"/>
              </w:rPr>
              <w:t xml:space="preserve"> wykonalność </w:t>
            </w:r>
            <w:r w:rsidR="006E4874">
              <w:rPr>
                <w:rFonts w:asciiTheme="minorHAnsi" w:hAnsiTheme="minorHAnsi" w:cstheme="minorHAnsi"/>
                <w:sz w:val="24"/>
                <w:szCs w:val="24"/>
              </w:rPr>
              <w:br/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efektywność projektu</w:t>
            </w:r>
          </w:p>
          <w:p w14:paraId="09C11531" w14:textId="41ABA7B9" w:rsidR="00807C52" w:rsidRPr="005F77C7" w:rsidRDefault="00807C52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87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B68330" w14:textId="6A2D35BA" w:rsidR="00807C52" w:rsidRDefault="00807C52" w:rsidP="00807C52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277C59">
              <w:rPr>
                <w:rFonts w:asciiTheme="minorHAnsi" w:hAnsiTheme="minorHAnsi" w:cstheme="minorHAnsi"/>
                <w:sz w:val="24"/>
                <w:szCs w:val="24"/>
              </w:rPr>
              <w:t xml:space="preserve">ada się </w:t>
            </w:r>
            <w:r w:rsidR="006E4874">
              <w:rPr>
                <w:rFonts w:asciiTheme="minorHAnsi" w:hAnsiTheme="minorHAnsi" w:cstheme="minorHAnsi"/>
                <w:sz w:val="24"/>
                <w:szCs w:val="24"/>
              </w:rPr>
              <w:t xml:space="preserve">wykonalność finansową projektu oraz </w:t>
            </w:r>
            <w:r w:rsidRPr="00277C59">
              <w:rPr>
                <w:rFonts w:asciiTheme="minorHAnsi" w:hAnsiTheme="minorHAnsi" w:cstheme="minorHAnsi"/>
                <w:sz w:val="24"/>
                <w:szCs w:val="24"/>
              </w:rPr>
              <w:t xml:space="preserve">czy wybrana operacja odzwierciedla najkorzystniejszą relację między kwotą wsparcia, podejmowanymi działaniami </w:t>
            </w:r>
            <w:r w:rsidR="006E487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277C59">
              <w:rPr>
                <w:rFonts w:asciiTheme="minorHAnsi" w:hAnsiTheme="minorHAnsi" w:cstheme="minorHAnsi"/>
                <w:sz w:val="24"/>
                <w:szCs w:val="24"/>
              </w:rPr>
              <w:t>i osiąganymi celami, o której mowa w art. 73 ust. 2 lit. „c” Rozporządzenia Parlamentu Europejskiego I Rady (UE) 2021/1060 z dnia 24 czerwca 2021 r.</w:t>
            </w:r>
          </w:p>
          <w:p w14:paraId="2BAE461C" w14:textId="77777777" w:rsidR="00807C52" w:rsidRDefault="00807C52" w:rsidP="00807C52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C90131" w14:textId="3CA5092D" w:rsidR="00807C52" w:rsidRPr="00277C59" w:rsidRDefault="00807C52" w:rsidP="00807C52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dotyczy projektów, </w:t>
            </w:r>
            <w:r w:rsidRPr="00E64F58">
              <w:rPr>
                <w:rFonts w:asciiTheme="minorHAnsi" w:eastAsia="Aptos" w:hAnsiTheme="minorHAnsi" w:cstheme="minorHAnsi"/>
                <w:sz w:val="24"/>
                <w:szCs w:val="24"/>
              </w:rPr>
              <w:t>których całkowity koszt kwalifikowalny w momencie złożenia wniosku o dofinansowanie</w:t>
            </w:r>
            <w:r w:rsidR="00425E6A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 oraz w trakcie oceny merytorycznej</w:t>
            </w:r>
            <w:r w:rsidRPr="00E64F58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 jest </w:t>
            </w:r>
            <w:r w:rsidR="00242912">
              <w:rPr>
                <w:rFonts w:asciiTheme="minorHAnsi" w:eastAsia="Aptos" w:hAnsiTheme="minorHAnsi" w:cstheme="minorHAnsi"/>
                <w:sz w:val="24"/>
                <w:szCs w:val="24"/>
              </w:rPr>
              <w:t>niższy</w:t>
            </w:r>
            <w:r w:rsidRPr="00E64F58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 od 50 mln zł.</w:t>
            </w:r>
          </w:p>
          <w:p w14:paraId="4F56B4BE" w14:textId="72D3917D" w:rsidR="00807C52" w:rsidRDefault="00807C52" w:rsidP="00807C52">
            <w:pPr>
              <w:spacing w:before="120" w:after="0"/>
              <w:rPr>
                <w:rFonts w:cs="Calibr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4C60C2DA" w14:textId="4142C3E9" w:rsidR="00807C52" w:rsidRDefault="00807C52" w:rsidP="00DA2A15">
            <w:pPr>
              <w:spacing w:after="0"/>
              <w:rPr>
                <w:rFonts w:cs="Calibr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37059A" w:rsidRPr="00796D16" w14:paraId="49060A39" w14:textId="66EB5F53" w:rsidTr="0037059A">
        <w:trPr>
          <w:trHeight w:val="564"/>
        </w:trPr>
        <w:tc>
          <w:tcPr>
            <w:tcW w:w="519" w:type="dxa"/>
            <w:noWrap/>
            <w:vAlign w:val="center"/>
          </w:tcPr>
          <w:p w14:paraId="7037DA80" w14:textId="4BA1B22A" w:rsidR="0037059A" w:rsidRPr="0037059A" w:rsidRDefault="00807C52" w:rsidP="00DA2A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37059A" w:rsidRPr="0037059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645" w:type="dxa"/>
            <w:vAlign w:val="center"/>
          </w:tcPr>
          <w:p w14:paraId="591A08EE" w14:textId="77777777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Finansowa trwałość projektu</w:t>
            </w:r>
          </w:p>
          <w:p w14:paraId="29C66127" w14:textId="56D5818B" w:rsidR="0037059A" w:rsidRPr="0037059A" w:rsidRDefault="0037059A" w:rsidP="00DA2A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8744" w:type="dxa"/>
            <w:vAlign w:val="center"/>
          </w:tcPr>
          <w:p w14:paraId="0416C4B7" w14:textId="153CBFF7" w:rsidR="00B72B0A" w:rsidRDefault="0037059A" w:rsidP="00242912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Bada się finansową trwałość projektu</w:t>
            </w:r>
            <w:r w:rsidR="00B72B0A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72B0A">
              <w:rPr>
                <w:rFonts w:asciiTheme="minorHAnsi" w:hAnsiTheme="minorHAnsi" w:cstheme="minorHAnsi"/>
                <w:sz w:val="24"/>
                <w:szCs w:val="24"/>
              </w:rPr>
              <w:t xml:space="preserve">o której mowa </w:t>
            </w:r>
            <w:r w:rsidR="00277C59">
              <w:rPr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="00277C59" w:rsidRPr="00277C59">
              <w:rPr>
                <w:rFonts w:asciiTheme="minorHAnsi" w:hAnsiTheme="minorHAnsi" w:cstheme="minorHAnsi"/>
                <w:sz w:val="24"/>
                <w:szCs w:val="24"/>
              </w:rPr>
              <w:t>art. 73 ust. 2 lit. „</w:t>
            </w:r>
            <w:r w:rsidR="00277C59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277C59" w:rsidRPr="00277C59">
              <w:rPr>
                <w:rFonts w:asciiTheme="minorHAnsi" w:hAnsiTheme="minorHAnsi" w:cstheme="minorHAnsi"/>
                <w:sz w:val="24"/>
                <w:szCs w:val="24"/>
              </w:rPr>
              <w:t>” Rozporządzenia Parlamentu Europejskiego I Rady (UE) 2021/1060 z dnia 24 czerwca 2021 r.</w:t>
            </w:r>
            <w:r w:rsidR="0021393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807C52">
              <w:rPr>
                <w:rFonts w:asciiTheme="minorHAnsi" w:hAnsiTheme="minorHAnsi" w:cstheme="minorHAnsi"/>
                <w:sz w:val="24"/>
                <w:szCs w:val="24"/>
              </w:rPr>
              <w:t xml:space="preserve"> tj. </w:t>
            </w:r>
            <w:r w:rsidR="005A6684">
              <w:rPr>
                <w:rFonts w:asciiTheme="minorHAnsi" w:hAnsiTheme="minorHAnsi" w:cstheme="minorHAnsi"/>
                <w:sz w:val="24"/>
                <w:szCs w:val="24"/>
              </w:rPr>
              <w:t>weryfikacji podlega</w:t>
            </w:r>
            <w:r w:rsidR="00807C52" w:rsidRPr="00807C52">
              <w:rPr>
                <w:rFonts w:asciiTheme="minorHAnsi" w:hAnsiTheme="minorHAnsi" w:cstheme="minorHAnsi"/>
                <w:sz w:val="24"/>
                <w:szCs w:val="24"/>
              </w:rPr>
              <w:t xml:space="preserve">, czy </w:t>
            </w:r>
            <w:r w:rsidR="00242912">
              <w:rPr>
                <w:rFonts w:asciiTheme="minorHAnsi" w:hAnsiTheme="minorHAnsi" w:cstheme="minorHAnsi"/>
                <w:sz w:val="24"/>
                <w:szCs w:val="24"/>
              </w:rPr>
              <w:t>wnioskodawca</w:t>
            </w:r>
            <w:r w:rsidR="00425E6A">
              <w:rPr>
                <w:rFonts w:asciiTheme="minorHAnsi" w:hAnsiTheme="minorHAnsi" w:cstheme="minorHAnsi"/>
                <w:sz w:val="24"/>
                <w:szCs w:val="24"/>
              </w:rPr>
              <w:t xml:space="preserve"> zapewnił</w:t>
            </w:r>
            <w:r w:rsidR="005A668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425E6A">
              <w:rPr>
                <w:rFonts w:asciiTheme="minorHAnsi" w:hAnsiTheme="minorHAnsi" w:cstheme="minorHAnsi"/>
                <w:sz w:val="24"/>
                <w:szCs w:val="24"/>
              </w:rPr>
              <w:t xml:space="preserve">że </w:t>
            </w:r>
            <w:r w:rsidR="00807C52" w:rsidRPr="00807C52">
              <w:rPr>
                <w:rFonts w:asciiTheme="minorHAnsi" w:hAnsiTheme="minorHAnsi" w:cstheme="minorHAnsi"/>
                <w:sz w:val="24"/>
                <w:szCs w:val="24"/>
              </w:rPr>
              <w:t>ma niezbędne zasoby i mechanizmy finansowe, aby pokryć koszty eksploatacji i utrzymania w odniesieniu do operacji obejmujących inwestycje w infrastrukturę lub inwestycje produkcyjne, tak by zapewnić stabilność ich finansowania</w:t>
            </w:r>
            <w:r w:rsidR="0024291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EA312DB" w14:textId="68B020AF" w:rsidR="00B72B0A" w:rsidRDefault="00B72B0A" w:rsidP="00242912">
            <w:pPr>
              <w:spacing w:after="0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Weryfikacji podlega czy:</w:t>
            </w:r>
          </w:p>
          <w:p w14:paraId="240F9E9A" w14:textId="60FDC526" w:rsidR="00B72B0A" w:rsidRDefault="00B72B0A" w:rsidP="00B72B0A">
            <w:pPr>
              <w:pStyle w:val="Akapitzlist"/>
              <w:numPr>
                <w:ilvl w:val="0"/>
                <w:numId w:val="11"/>
              </w:num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2B0A">
              <w:rPr>
                <w:rFonts w:asciiTheme="minorHAnsi" w:hAnsiTheme="minorHAnsi" w:cstheme="minorHAnsi"/>
                <w:sz w:val="24"/>
                <w:szCs w:val="24"/>
              </w:rPr>
              <w:t>prawidłowo określono okres trwałości inwestycji</w:t>
            </w:r>
            <w:r w:rsidR="00807C5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B72B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6CE2188" w14:textId="0A6B86B5" w:rsidR="00B72B0A" w:rsidRDefault="00B72B0A" w:rsidP="00B72B0A">
            <w:pPr>
              <w:pStyle w:val="Akapitzlist"/>
              <w:numPr>
                <w:ilvl w:val="0"/>
                <w:numId w:val="11"/>
              </w:num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77C59">
              <w:rPr>
                <w:rFonts w:asciiTheme="minorHAnsi" w:hAnsiTheme="minorHAnsi" w:cstheme="minorHAnsi"/>
                <w:sz w:val="24"/>
                <w:szCs w:val="24"/>
              </w:rPr>
              <w:t>opisano założenia dot. utrzymania celów i trwałości inwestycji</w:t>
            </w:r>
          </w:p>
          <w:p w14:paraId="4AD3239A" w14:textId="64900E96" w:rsidR="0037059A" w:rsidRPr="0037059A" w:rsidRDefault="00242912" w:rsidP="00277C59">
            <w:pPr>
              <w:pStyle w:val="Akapitzlist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72B0A">
              <w:rPr>
                <w:rFonts w:asciiTheme="minorHAnsi" w:hAnsiTheme="minorHAnsi" w:cstheme="minorHAnsi"/>
                <w:sz w:val="24"/>
                <w:szCs w:val="24"/>
              </w:rPr>
              <w:t>opisy są poprawne, zrozumiałe i jednoznaczne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B72B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3B6964" w14:textId="030440C6" w:rsidR="00807C52" w:rsidRPr="0037059A" w:rsidRDefault="0037059A" w:rsidP="00B72B0A">
            <w:pPr>
              <w:spacing w:before="120" w:after="0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dotyczy projektów</w:t>
            </w:r>
            <w:r w:rsidR="002429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42912" w:rsidRPr="00807C52">
              <w:rPr>
                <w:rFonts w:asciiTheme="minorHAnsi" w:hAnsiTheme="minorHAnsi" w:cstheme="minorHAnsi"/>
                <w:sz w:val="24"/>
                <w:szCs w:val="24"/>
              </w:rPr>
              <w:t>obejmujących inwestycj</w:t>
            </w:r>
            <w:r w:rsidR="0024291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242912" w:rsidRPr="00807C52">
              <w:rPr>
                <w:rFonts w:asciiTheme="minorHAnsi" w:hAnsiTheme="minorHAnsi" w:cstheme="minorHAnsi"/>
                <w:sz w:val="24"/>
                <w:szCs w:val="24"/>
              </w:rPr>
              <w:t xml:space="preserve"> w infrastrukturę lub inwestycj</w:t>
            </w:r>
            <w:r w:rsidR="0024291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242912" w:rsidRPr="00807C52">
              <w:rPr>
                <w:rFonts w:asciiTheme="minorHAnsi" w:hAnsiTheme="minorHAnsi" w:cstheme="minorHAnsi"/>
                <w:sz w:val="24"/>
                <w:szCs w:val="24"/>
              </w:rPr>
              <w:t xml:space="preserve"> produkcyjn</w:t>
            </w:r>
            <w:r w:rsidR="00242912">
              <w:rPr>
                <w:rFonts w:asciiTheme="minorHAnsi" w:hAnsiTheme="minorHAnsi" w:cstheme="minorHAnsi"/>
                <w:sz w:val="24"/>
                <w:szCs w:val="24"/>
              </w:rPr>
              <w:t>e,</w:t>
            </w: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bookmarkStart w:id="0" w:name="_Hlk214793447"/>
            <w:r w:rsidR="00B72B0A" w:rsidRPr="00E64F58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których całkowity koszt kwalifikowalny w momencie złożenia wniosku </w:t>
            </w:r>
            <w:r w:rsidR="00242912">
              <w:rPr>
                <w:rFonts w:asciiTheme="minorHAnsi" w:eastAsia="Aptos" w:hAnsiTheme="minorHAnsi" w:cstheme="minorHAnsi"/>
                <w:sz w:val="24"/>
                <w:szCs w:val="24"/>
              </w:rPr>
              <w:br/>
            </w:r>
            <w:r w:rsidR="00B72B0A" w:rsidRPr="00E64F58">
              <w:rPr>
                <w:rFonts w:asciiTheme="minorHAnsi" w:eastAsia="Aptos" w:hAnsiTheme="minorHAnsi" w:cstheme="minorHAnsi"/>
                <w:sz w:val="24"/>
                <w:szCs w:val="24"/>
              </w:rPr>
              <w:t>o dofinansowanie</w:t>
            </w:r>
            <w:r w:rsidR="00F6390A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 oraz w trakcie oceny merytorycznej</w:t>
            </w:r>
            <w:r w:rsidR="00B72B0A" w:rsidRPr="00E64F58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 jest </w:t>
            </w:r>
            <w:r w:rsidR="00242912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niższy </w:t>
            </w:r>
            <w:r w:rsidR="00B72B0A" w:rsidRPr="00E64F58">
              <w:rPr>
                <w:rFonts w:asciiTheme="minorHAnsi" w:eastAsia="Aptos" w:hAnsiTheme="minorHAnsi" w:cstheme="minorHAnsi"/>
                <w:sz w:val="24"/>
                <w:szCs w:val="24"/>
              </w:rPr>
              <w:t>od 50 mln zł.</w:t>
            </w:r>
            <w:r w:rsidR="00B72B0A" w:rsidRPr="00E64F58">
              <w:rPr>
                <w:rFonts w:asciiTheme="minorHAnsi" w:eastAsia="Aptos" w:hAnsiTheme="minorHAnsi" w:cstheme="minorHAnsi"/>
                <w:iCs/>
                <w:sz w:val="24"/>
                <w:szCs w:val="24"/>
              </w:rPr>
              <w:t xml:space="preserve"> </w:t>
            </w:r>
            <w:bookmarkEnd w:id="0"/>
            <w:r w:rsidR="00B72B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A89EA5D" w14:textId="6822A694" w:rsidR="008242B4" w:rsidRPr="0037059A" w:rsidRDefault="0037059A" w:rsidP="00DA2A1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 na podstawie zapisów wniosku o dofinansowanie i załączników i/lub wyjaśnień udzielonych przez Wnioskodawcę.</w:t>
            </w:r>
          </w:p>
        </w:tc>
        <w:tc>
          <w:tcPr>
            <w:tcW w:w="3401" w:type="dxa"/>
            <w:vAlign w:val="center"/>
          </w:tcPr>
          <w:p w14:paraId="57F0B96A" w14:textId="23DBB80E" w:rsidR="0037059A" w:rsidRPr="005976AC" w:rsidRDefault="0037059A" w:rsidP="00DA2A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15552965" w14:textId="7A5DE0F8" w:rsidR="0058587C" w:rsidRDefault="0058587C">
      <w:pPr>
        <w:spacing w:after="160" w:line="259" w:lineRule="auto"/>
      </w:pPr>
    </w:p>
    <w:tbl>
      <w:tblPr>
        <w:tblW w:w="5622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544"/>
        <w:gridCol w:w="2156"/>
        <w:gridCol w:w="8358"/>
        <w:gridCol w:w="1841"/>
        <w:gridCol w:w="1275"/>
        <w:gridCol w:w="1561"/>
      </w:tblGrid>
      <w:tr w:rsidR="0058587C" w:rsidRPr="0058587C" w14:paraId="7662E2A2" w14:textId="77777777" w:rsidTr="00B47E19">
        <w:trPr>
          <w:trHeight w:val="308"/>
          <w:tblHeader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762EA452" w14:textId="77777777" w:rsidR="0058587C" w:rsidRPr="0058587C" w:rsidRDefault="0058587C" w:rsidP="0058587C">
            <w:pPr>
              <w:spacing w:after="0"/>
              <w:rPr>
                <w:rFonts w:asciiTheme="minorHAnsi" w:eastAsiaTheme="minorHAnsi" w:hAnsiTheme="minorHAnsi" w:cs="Calibri"/>
                <w:b/>
                <w:bCs/>
                <w:color w:val="000099"/>
              </w:rPr>
            </w:pPr>
            <w:bookmarkStart w:id="1" w:name="_Hlk205497085"/>
            <w:r w:rsidRPr="0058587C">
              <w:rPr>
                <w:rFonts w:asciiTheme="minorHAnsi" w:eastAsiaTheme="minorHAnsi" w:hAnsiTheme="minorHAnsi" w:cs="Calibri"/>
                <w:b/>
                <w:color w:val="000099"/>
                <w:lang w:eastAsia="pl-PL"/>
              </w:rPr>
              <w:t xml:space="preserve">Kryteria merytoryczne uniwersalne (punktowane) </w:t>
            </w:r>
            <w:r w:rsidRPr="0058587C">
              <w:rPr>
                <w:rFonts w:asciiTheme="minorHAnsi" w:eastAsiaTheme="minorHAnsi" w:hAnsiTheme="minorHAnsi" w:cs="Calibri"/>
                <w:b/>
                <w:bCs/>
                <w:color w:val="000099"/>
                <w:lang w:eastAsia="pl-PL"/>
              </w:rPr>
              <w:t>-</w:t>
            </w:r>
            <w:r w:rsidRPr="0058587C">
              <w:rPr>
                <w:rFonts w:asciiTheme="minorHAnsi" w:eastAsiaTheme="minorHAnsi" w:hAnsiTheme="minorHAnsi" w:cs="Calibri"/>
                <w:b/>
                <w:color w:val="000099"/>
                <w:lang w:eastAsia="pl-PL"/>
              </w:rPr>
              <w:t xml:space="preserve"> obowiązujące wyłącznie dla naborów przeprowadzonych w trybie konkurencyjnym</w:t>
            </w:r>
          </w:p>
        </w:tc>
      </w:tr>
      <w:tr w:rsidR="0058587C" w:rsidRPr="0058587C" w14:paraId="1F1B136E" w14:textId="77777777" w:rsidTr="00B47E19">
        <w:trPr>
          <w:trHeight w:val="308"/>
          <w:tblHeader/>
        </w:trPr>
        <w:tc>
          <w:tcPr>
            <w:tcW w:w="173" w:type="pct"/>
            <w:shd w:val="clear" w:color="auto" w:fill="D9D9D9"/>
            <w:noWrap/>
            <w:vAlign w:val="center"/>
          </w:tcPr>
          <w:p w14:paraId="4A9D6300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bCs/>
                <w:color w:val="000099"/>
              </w:rPr>
            </w:pPr>
            <w:r w:rsidRPr="0058587C">
              <w:rPr>
                <w:rFonts w:asciiTheme="minorHAnsi" w:eastAsiaTheme="minorHAnsi" w:hAnsiTheme="minorHAnsi" w:cs="Calibri"/>
                <w:b/>
                <w:bCs/>
                <w:color w:val="000099"/>
              </w:rPr>
              <w:t>lp.</w:t>
            </w:r>
          </w:p>
        </w:tc>
        <w:tc>
          <w:tcPr>
            <w:tcW w:w="685" w:type="pct"/>
            <w:shd w:val="clear" w:color="auto" w:fill="D9D9D9"/>
            <w:noWrap/>
            <w:vAlign w:val="center"/>
          </w:tcPr>
          <w:p w14:paraId="12EBE479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bCs/>
                <w:color w:val="000099"/>
              </w:rPr>
            </w:pPr>
            <w:r w:rsidRPr="0058587C">
              <w:rPr>
                <w:rFonts w:asciiTheme="minorHAnsi" w:eastAsiaTheme="minorHAnsi" w:hAnsiTheme="minorHAnsi" w:cs="Calibri"/>
                <w:b/>
                <w:bCs/>
                <w:color w:val="000099"/>
              </w:rPr>
              <w:t>Nazwa kryterium</w:t>
            </w:r>
          </w:p>
        </w:tc>
        <w:tc>
          <w:tcPr>
            <w:tcW w:w="2656" w:type="pct"/>
            <w:shd w:val="clear" w:color="auto" w:fill="D9D9D9"/>
            <w:vAlign w:val="center"/>
          </w:tcPr>
          <w:p w14:paraId="7EA8B7E4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bCs/>
                <w:color w:val="000099"/>
              </w:rPr>
            </w:pPr>
            <w:r w:rsidRPr="0058587C">
              <w:rPr>
                <w:rFonts w:asciiTheme="minorHAnsi" w:eastAsiaTheme="minorHAnsi" w:hAnsiTheme="minorHAnsi" w:cs="Calibri"/>
                <w:b/>
                <w:bCs/>
                <w:color w:val="000099"/>
              </w:rPr>
              <w:t>Definicja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29A3A00A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color w:val="000099"/>
                <w:lang w:eastAsia="pl-PL"/>
              </w:rPr>
            </w:pPr>
            <w:r w:rsidRPr="0058587C">
              <w:rPr>
                <w:rFonts w:asciiTheme="minorHAnsi" w:eastAsiaTheme="minorHAnsi" w:hAnsiTheme="minorHAnsi" w:cs="Calibri"/>
                <w:b/>
                <w:color w:val="000099"/>
                <w:lang w:eastAsia="pl-PL"/>
              </w:rPr>
              <w:t>Opis znaczenia kryterium</w:t>
            </w:r>
          </w:p>
        </w:tc>
        <w:tc>
          <w:tcPr>
            <w:tcW w:w="405" w:type="pct"/>
            <w:shd w:val="clear" w:color="auto" w:fill="D9D9D9"/>
            <w:vAlign w:val="center"/>
          </w:tcPr>
          <w:p w14:paraId="053F5D01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color w:val="000099"/>
                <w:lang w:eastAsia="pl-PL"/>
              </w:rPr>
            </w:pPr>
            <w:r w:rsidRPr="0058587C">
              <w:rPr>
                <w:rFonts w:asciiTheme="minorHAnsi" w:eastAsiaTheme="minorHAnsi" w:hAnsiTheme="minorHAnsi" w:cs="Calibri"/>
                <w:b/>
                <w:color w:val="000099"/>
                <w:lang w:eastAsia="pl-PL"/>
              </w:rPr>
              <w:t>Waga</w:t>
            </w:r>
          </w:p>
        </w:tc>
        <w:tc>
          <w:tcPr>
            <w:tcW w:w="496" w:type="pct"/>
            <w:shd w:val="clear" w:color="auto" w:fill="D9D9D9"/>
            <w:vAlign w:val="center"/>
          </w:tcPr>
          <w:p w14:paraId="6ADF99C5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/>
                <w:color w:val="000099"/>
                <w:lang w:eastAsia="pl-PL"/>
              </w:rPr>
            </w:pPr>
            <w:r w:rsidRPr="0058587C">
              <w:rPr>
                <w:rFonts w:asciiTheme="minorHAnsi" w:eastAsiaTheme="minorHAnsi" w:hAnsiTheme="minorHAnsi" w:cs="Calibri"/>
                <w:b/>
                <w:color w:val="000099"/>
                <w:lang w:eastAsia="pl-PL"/>
              </w:rPr>
              <w:t>Punktacja</w:t>
            </w:r>
          </w:p>
        </w:tc>
      </w:tr>
      <w:tr w:rsidR="0058587C" w:rsidRPr="0058587C" w14:paraId="7300B841" w14:textId="77777777" w:rsidTr="00B47E19">
        <w:trPr>
          <w:trHeight w:val="255"/>
          <w:tblHeader/>
        </w:trPr>
        <w:tc>
          <w:tcPr>
            <w:tcW w:w="173" w:type="pct"/>
            <w:shd w:val="clear" w:color="auto" w:fill="F2F2F2"/>
            <w:noWrap/>
            <w:vAlign w:val="center"/>
          </w:tcPr>
          <w:p w14:paraId="6CC515FC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i/>
                <w:color w:val="000099"/>
              </w:rPr>
            </w:pPr>
            <w:r w:rsidRPr="0058587C">
              <w:rPr>
                <w:rFonts w:asciiTheme="minorHAnsi" w:eastAsiaTheme="minorHAnsi" w:hAnsiTheme="minorHAnsi" w:cs="Calibri"/>
                <w:bCs/>
                <w:i/>
                <w:color w:val="000099"/>
              </w:rPr>
              <w:t>1</w:t>
            </w:r>
          </w:p>
        </w:tc>
        <w:tc>
          <w:tcPr>
            <w:tcW w:w="685" w:type="pct"/>
            <w:shd w:val="clear" w:color="auto" w:fill="F2F2F2"/>
            <w:noWrap/>
            <w:vAlign w:val="center"/>
          </w:tcPr>
          <w:p w14:paraId="5FE95922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i/>
                <w:color w:val="000099"/>
              </w:rPr>
            </w:pPr>
            <w:r w:rsidRPr="0058587C">
              <w:rPr>
                <w:rFonts w:asciiTheme="minorHAnsi" w:eastAsiaTheme="minorHAnsi" w:hAnsiTheme="minorHAnsi" w:cs="Calibri"/>
                <w:bCs/>
                <w:i/>
                <w:color w:val="000099"/>
              </w:rPr>
              <w:t>2</w:t>
            </w:r>
          </w:p>
        </w:tc>
        <w:tc>
          <w:tcPr>
            <w:tcW w:w="2656" w:type="pct"/>
            <w:shd w:val="clear" w:color="auto" w:fill="F2F2F2"/>
            <w:vAlign w:val="center"/>
          </w:tcPr>
          <w:p w14:paraId="160D5F78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i/>
                <w:color w:val="000099"/>
              </w:rPr>
            </w:pPr>
            <w:r w:rsidRPr="0058587C">
              <w:rPr>
                <w:rFonts w:asciiTheme="minorHAnsi" w:eastAsiaTheme="minorHAnsi" w:hAnsiTheme="minorHAnsi" w:cs="Calibri"/>
                <w:bCs/>
                <w:i/>
                <w:color w:val="000099"/>
              </w:rPr>
              <w:t>3</w:t>
            </w:r>
          </w:p>
        </w:tc>
        <w:tc>
          <w:tcPr>
            <w:tcW w:w="585" w:type="pct"/>
            <w:shd w:val="clear" w:color="auto" w:fill="F2F2F2"/>
            <w:vAlign w:val="center"/>
          </w:tcPr>
          <w:p w14:paraId="1A144A93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i/>
                <w:color w:val="000099"/>
              </w:rPr>
            </w:pPr>
            <w:r w:rsidRPr="0058587C">
              <w:rPr>
                <w:rFonts w:asciiTheme="minorHAnsi" w:eastAsiaTheme="minorHAnsi" w:hAnsiTheme="minorHAnsi" w:cs="Calibri"/>
                <w:bCs/>
                <w:i/>
                <w:color w:val="000099"/>
              </w:rPr>
              <w:t>4</w:t>
            </w:r>
          </w:p>
        </w:tc>
        <w:tc>
          <w:tcPr>
            <w:tcW w:w="405" w:type="pct"/>
            <w:shd w:val="clear" w:color="auto" w:fill="F2F2F2"/>
            <w:vAlign w:val="center"/>
          </w:tcPr>
          <w:p w14:paraId="177DA3ED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i/>
                <w:color w:val="000099"/>
              </w:rPr>
            </w:pPr>
            <w:r w:rsidRPr="0058587C">
              <w:rPr>
                <w:rFonts w:asciiTheme="minorHAnsi" w:eastAsiaTheme="minorHAnsi" w:hAnsiTheme="minorHAnsi" w:cs="Calibri"/>
                <w:i/>
                <w:color w:val="000099"/>
                <w:lang w:eastAsia="pl-PL"/>
              </w:rPr>
              <w:t>5</w:t>
            </w:r>
          </w:p>
        </w:tc>
        <w:tc>
          <w:tcPr>
            <w:tcW w:w="496" w:type="pct"/>
            <w:shd w:val="clear" w:color="auto" w:fill="F2F2F2"/>
            <w:vAlign w:val="center"/>
          </w:tcPr>
          <w:p w14:paraId="4A066941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i/>
                <w:color w:val="000099"/>
              </w:rPr>
            </w:pPr>
            <w:r w:rsidRPr="0058587C">
              <w:rPr>
                <w:rFonts w:asciiTheme="minorHAnsi" w:eastAsiaTheme="minorHAnsi" w:hAnsiTheme="minorHAnsi" w:cs="Calibri"/>
                <w:bCs/>
                <w:i/>
                <w:color w:val="000099"/>
              </w:rPr>
              <w:t>6</w:t>
            </w:r>
          </w:p>
        </w:tc>
      </w:tr>
      <w:tr w:rsidR="0058587C" w:rsidRPr="0058587C" w14:paraId="7F640B43" w14:textId="77777777" w:rsidTr="0058373F">
        <w:trPr>
          <w:trHeight w:val="1019"/>
        </w:trPr>
        <w:tc>
          <w:tcPr>
            <w:tcW w:w="173" w:type="pct"/>
            <w:noWrap/>
            <w:vAlign w:val="center"/>
          </w:tcPr>
          <w:p w14:paraId="7DA9870D" w14:textId="46C83861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sz w:val="24"/>
                <w:szCs w:val="24"/>
              </w:rPr>
            </w:pPr>
            <w:r w:rsidRPr="0058587C">
              <w:rPr>
                <w:rFonts w:asciiTheme="minorHAnsi" w:eastAsiaTheme="minorHAnsi" w:hAnsiTheme="minorHAnsi" w:cs="Calibri"/>
                <w:sz w:val="24"/>
                <w:szCs w:val="24"/>
              </w:rPr>
              <w:t>1.</w:t>
            </w:r>
          </w:p>
        </w:tc>
        <w:tc>
          <w:tcPr>
            <w:tcW w:w="685" w:type="pct"/>
            <w:vAlign w:val="center"/>
          </w:tcPr>
          <w:p w14:paraId="6BAEFE39" w14:textId="560C05A5" w:rsidR="0058587C" w:rsidRPr="0058587C" w:rsidRDefault="0058587C" w:rsidP="0058587C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58587C">
              <w:rPr>
                <w:rFonts w:eastAsia="Calibri"/>
                <w:sz w:val="24"/>
                <w:szCs w:val="24"/>
              </w:rPr>
              <w:t>Gotowość projektu do realizacji</w:t>
            </w:r>
            <w:r w:rsidR="00D534D2">
              <w:rPr>
                <w:rFonts w:eastAsia="Calibri"/>
                <w:sz w:val="24"/>
                <w:szCs w:val="24"/>
              </w:rPr>
              <w:t xml:space="preserve"> (nie dotyczy działania 2.1)</w:t>
            </w:r>
          </w:p>
        </w:tc>
        <w:tc>
          <w:tcPr>
            <w:tcW w:w="2656" w:type="pct"/>
            <w:vAlign w:val="center"/>
          </w:tcPr>
          <w:p w14:paraId="57957531" w14:textId="77777777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W ramach kryterium ocenie podlegać będzie 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stan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gotowości projektu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do realizacji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na dzień złożenia wniosku o dofinansowanie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:</w:t>
            </w:r>
          </w:p>
          <w:p w14:paraId="1BBDAA7A" w14:textId="77777777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</w:t>
            </w:r>
          </w:p>
          <w:p w14:paraId="5641BD58" w14:textId="77777777" w:rsidR="00D534D2" w:rsidRPr="0058373F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0 pkt - projekt obejmuje co najmniej jedno </w:t>
            </w:r>
            <w:r w:rsidRPr="0058373F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przedsięwzięcie, które będzie realizowane w formule „zaprojektuj i wybuduj” (jeżeli posiada jedynie program funkcjonalno-użytkowy).</w:t>
            </w:r>
          </w:p>
          <w:p w14:paraId="3309CD8F" w14:textId="77777777" w:rsidR="00D534D2" w:rsidRPr="0058373F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</w:p>
          <w:p w14:paraId="1A1FB2B4" w14:textId="77777777" w:rsidR="00D534D2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 w:rsidRPr="0058373F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Punkty uzyskają tylko projekty*, które nie będą realizowane w formule „zaprojektuj i wybuduj” (posiadające jedynie program funkcjonalno-użytkowy), tj.:</w:t>
            </w:r>
          </w:p>
          <w:p w14:paraId="4D176F5E" w14:textId="77777777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</w:p>
          <w:p w14:paraId="17184A09" w14:textId="77777777" w:rsidR="00D534D2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1 pkt – projekt obejmuje co najmniej jedno przedsięwzięcie, które wymaga uzyskania decyzji budowlan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ej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*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*, ale na dzień złożenia wniosku o dofinansowanie nie został rozpoczęty proces uzyskania tej decyzji. </w:t>
            </w:r>
          </w:p>
          <w:p w14:paraId="19DCE96E" w14:textId="77777777" w:rsidR="00D534D2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</w:p>
          <w:p w14:paraId="4AF3D03E" w14:textId="77777777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2 pkt – projekt obejmuje przedsięwzięcie/a, które wymaga/ją uzyskania decyzji budowlanej** i na dzień złożenia wniosku o dofinansowanie został rozpoczęty proces uzyskania tej decyzji dla wszystkich przedsięwzięć. Punkty zostaną przyznane, gdy Wnioskodawca udowodni, że na dzień złożenia wniosku o dofinansowanie złożył wnioski o wydanie decyzji budowlanej** dla wszystkich przedsięwzięć.</w:t>
            </w:r>
          </w:p>
          <w:p w14:paraId="0688A59B" w14:textId="77777777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</w:t>
            </w:r>
          </w:p>
          <w:p w14:paraId="4345DEEF" w14:textId="77777777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3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pkt - projekt obejmuje przedsięwzięcie/a, które wymaga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/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ją uzyskania decyzji budowlan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ej**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i posiada wszystkie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ostateczne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decyzje budowlane dla wszystkich przedsięwzięć. Punkt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y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zostan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ą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przyznane,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gdy Wnioskodawca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na dzień złożenia wniosku o dofinansowanie posiada wszystkie wymagane ostateczne decyzje.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Ostateczność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decyzji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budowlanej musi być udokumentowana zgodnie z zapisami załącznika nr 6 do Regulaminu wyboru projektów w tym zakresie.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</w:t>
            </w:r>
          </w:p>
          <w:p w14:paraId="6A86566E" w14:textId="77777777" w:rsidR="00D534D2" w:rsidRPr="00D534D2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3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pkt - </w:t>
            </w:r>
            <w:r w:rsidRPr="0058373F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projekt nie obejmuje przedsięwzięć infrastrukturalnych (np. dotyczy tylko zakupu sprzętu) lub obejmuje</w:t>
            </w:r>
            <w:r w:rsidRPr="00D534D2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przedsięwzięcie/a, które nie wymaga/ją uzyskania decyzji budowlanej**. Punkty zostaną przyznane, gdy Wnioskodawca udowodni, że dla żadnego z przedsięwzięć </w:t>
            </w:r>
            <w:r w:rsidRPr="0058373F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infrastrukturalnych</w:t>
            </w:r>
            <w:r w:rsidRPr="00D534D2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objętych projektem nie są wymagane decyzje budowlane.</w:t>
            </w:r>
          </w:p>
          <w:p w14:paraId="3EAEB179" w14:textId="77777777" w:rsidR="00D534D2" w:rsidRPr="00D534D2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</w:p>
          <w:p w14:paraId="4EDB3DEE" w14:textId="77777777" w:rsidR="00D534D2" w:rsidRPr="00D534D2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 w:rsidRPr="00D534D2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Punkty nie sumują się.</w:t>
            </w:r>
          </w:p>
          <w:p w14:paraId="4BE3BE88" w14:textId="77777777" w:rsidR="00D534D2" w:rsidRPr="00D534D2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</w:p>
          <w:p w14:paraId="7B1156E5" w14:textId="3A8CF65D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 w:rsidRPr="00D534D2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lastRenderedPageBreak/>
              <w:t xml:space="preserve">* W przypadku projektów partnerskich ww. punkty (za gotowość do realizacji projektu) będą nadane projektowi, który obejmuje przedsięwzięcia realizowane poza formułą „zaprojektuj i wybuduj” </w:t>
            </w:r>
            <w:r w:rsidRPr="0058373F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(posiadające jedynie program funkcjonalno-użytkowy)</w:t>
            </w:r>
            <w:r w:rsidRPr="00D534D2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o wartości co</w:t>
            </w:r>
            <w:r w:rsidRPr="00685731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najmniej </w:t>
            </w:r>
            <w:r w:rsidRPr="004F6C09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8</w:t>
            </w:r>
            <w:r w:rsidRPr="00685731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0% kosztów kwalifikowalnych projektu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 na etapie oceny merytorycznej</w:t>
            </w:r>
            <w:r w:rsidRPr="00685731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.</w:t>
            </w:r>
          </w:p>
          <w:p w14:paraId="633F9A2E" w14:textId="77777777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</w:p>
          <w:p w14:paraId="1A0AD4D1" w14:textId="77777777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*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*</w:t>
            </w:r>
            <w:r w:rsidRPr="0058587C">
              <w:rPr>
                <w:rFonts w:asciiTheme="minorHAnsi" w:eastAsiaTheme="minorHAnsi" w:hAnsiTheme="minorHAnsi" w:cstheme="minorBidi"/>
              </w:rPr>
              <w:t xml:space="preserve"> 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Ilekroć jest mowa o „decyzji budowlanej”, należy przez to rozumieć każdą decyzję uprawniającą do rozpoczęcia robót budowlanych, a także sytuację, kiedy w wyniku braku sprzeciwu właściwego organu Wnioskodawca jest uprawniony do realizacji przedsięwzięcia w oparciu o zgłoszenie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budowy lub wykonywania innych 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>robót budowlanych w trybie art. 30 ustawy Prawo budowlane.</w:t>
            </w:r>
          </w:p>
          <w:p w14:paraId="2C93244D" w14:textId="77777777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</w:p>
          <w:p w14:paraId="23E477AA" w14:textId="77777777" w:rsidR="00D534D2" w:rsidRPr="0058587C" w:rsidRDefault="00D534D2" w:rsidP="00D534D2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t xml:space="preserve">Kryterium weryfikowane na podstawie zapisów wniosku o dofinansowanie </w:t>
            </w:r>
            <w:r w:rsidRPr="0058587C"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  <w:br/>
              <w:t>i załączników i/lub wyjaśnień udzielonych przez Wnioskodawcę.</w:t>
            </w:r>
          </w:p>
          <w:p w14:paraId="76F71564" w14:textId="77777777" w:rsidR="0058587C" w:rsidRPr="0058587C" w:rsidRDefault="0058587C" w:rsidP="0058587C">
            <w:pPr>
              <w:suppressAutoHyphens/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bidi="pl-PL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14:paraId="7FFCA445" w14:textId="77777777" w:rsidR="0058587C" w:rsidRPr="0058587C" w:rsidRDefault="0058587C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sz w:val="24"/>
                <w:szCs w:val="24"/>
                <w:lang w:eastAsia="pl-PL"/>
              </w:rPr>
            </w:pPr>
            <w:r w:rsidRPr="0058587C">
              <w:rPr>
                <w:rFonts w:asciiTheme="minorHAnsi" w:eastAsiaTheme="minorHAnsi" w:hAnsiTheme="minorHAnsi" w:cs="Calibr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1A36F084" w14:textId="6D7C8732" w:rsidR="0058587C" w:rsidRPr="0058587C" w:rsidRDefault="00A02ADF" w:rsidP="0058587C">
            <w:pPr>
              <w:spacing w:after="0"/>
              <w:jc w:val="center"/>
              <w:rPr>
                <w:rFonts w:asciiTheme="minorHAnsi" w:eastAsiaTheme="minorHAnsi" w:hAnsiTheme="minorHAnsi" w:cs="Calibr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Theme="minorHAnsi" w:hAnsiTheme="minorHAnsi" w:cs="Calibri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96" w:type="pct"/>
            <w:vAlign w:val="center"/>
          </w:tcPr>
          <w:p w14:paraId="48B5BEC3" w14:textId="6DC17424" w:rsidR="0058587C" w:rsidRPr="0058587C" w:rsidRDefault="0058587C" w:rsidP="0058587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eastAsiaTheme="minorHAnsi" w:hAnsiTheme="minorHAnsi" w:cs="Calibri"/>
                <w:sz w:val="24"/>
                <w:szCs w:val="24"/>
                <w:lang w:eastAsia="pl-PL"/>
              </w:rPr>
            </w:pPr>
            <w:r w:rsidRPr="0058587C">
              <w:rPr>
                <w:rFonts w:asciiTheme="minorHAnsi" w:eastAsiaTheme="minorHAnsi" w:hAnsiTheme="minorHAnsi" w:cs="Calibri"/>
                <w:sz w:val="24"/>
                <w:szCs w:val="24"/>
                <w:lang w:eastAsia="pl-PL"/>
              </w:rPr>
              <w:t>0</w:t>
            </w:r>
            <w:r w:rsidR="00D534D2">
              <w:rPr>
                <w:rFonts w:asciiTheme="minorHAnsi" w:eastAsiaTheme="minorHAnsi" w:hAnsiTheme="minorHAnsi" w:cs="Calibri"/>
                <w:sz w:val="24"/>
                <w:szCs w:val="24"/>
                <w:lang w:eastAsia="pl-PL"/>
              </w:rPr>
              <w:t xml:space="preserve"> lub 1 lub </w:t>
            </w:r>
            <w:r w:rsidRPr="0058587C">
              <w:rPr>
                <w:rFonts w:asciiTheme="minorHAnsi" w:eastAsiaTheme="minorHAnsi" w:hAnsiTheme="minorHAnsi" w:cs="Calibri"/>
                <w:sz w:val="24"/>
                <w:szCs w:val="24"/>
                <w:lang w:eastAsia="pl-PL"/>
              </w:rPr>
              <w:t xml:space="preserve">2 </w:t>
            </w:r>
            <w:r w:rsidR="00D534D2">
              <w:rPr>
                <w:rFonts w:asciiTheme="minorHAnsi" w:eastAsiaTheme="minorHAnsi" w:hAnsiTheme="minorHAnsi" w:cs="Calibri"/>
                <w:sz w:val="24"/>
                <w:szCs w:val="24"/>
                <w:lang w:eastAsia="pl-PL"/>
              </w:rPr>
              <w:t xml:space="preserve">lub 3 </w:t>
            </w:r>
            <w:r w:rsidRPr="0058587C">
              <w:rPr>
                <w:rFonts w:asciiTheme="minorHAnsi" w:eastAsiaTheme="minorHAnsi" w:hAnsiTheme="minorHAnsi" w:cs="Calibri"/>
                <w:sz w:val="24"/>
                <w:szCs w:val="24"/>
                <w:lang w:eastAsia="pl-PL"/>
              </w:rPr>
              <w:t>pkt</w:t>
            </w:r>
          </w:p>
        </w:tc>
      </w:tr>
      <w:bookmarkEnd w:id="1"/>
    </w:tbl>
    <w:p w14:paraId="7904A7C8" w14:textId="77777777" w:rsidR="00A60B9D" w:rsidRDefault="00A60B9D" w:rsidP="00D11BF8"/>
    <w:sectPr w:rsidR="00A60B9D" w:rsidSect="00614518">
      <w:footerReference w:type="default" r:id="rId9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0E2A" w14:textId="77777777" w:rsidR="00BB0B67" w:rsidRDefault="00BB0B67" w:rsidP="005754B1">
      <w:pPr>
        <w:spacing w:after="0" w:line="240" w:lineRule="auto"/>
      </w:pPr>
      <w:r>
        <w:separator/>
      </w:r>
    </w:p>
  </w:endnote>
  <w:endnote w:type="continuationSeparator" w:id="0">
    <w:p w14:paraId="41EA78EB" w14:textId="77777777" w:rsidR="00BB0B67" w:rsidRDefault="00BB0B67" w:rsidP="0057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652099"/>
      <w:docPartObj>
        <w:docPartGallery w:val="Page Numbers (Bottom of Page)"/>
        <w:docPartUnique/>
      </w:docPartObj>
    </w:sdtPr>
    <w:sdtEndPr/>
    <w:sdtContent>
      <w:p w14:paraId="6986667C" w14:textId="77777777" w:rsidR="00845C54" w:rsidRDefault="00845C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6BE">
          <w:rPr>
            <w:noProof/>
          </w:rPr>
          <w:t>14</w:t>
        </w:r>
        <w:r>
          <w:fldChar w:fldCharType="end"/>
        </w:r>
      </w:p>
    </w:sdtContent>
  </w:sdt>
  <w:p w14:paraId="641683ED" w14:textId="77777777" w:rsidR="00845C54" w:rsidRDefault="00845C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C2286" w14:textId="77777777" w:rsidR="00BB0B67" w:rsidRDefault="00BB0B67" w:rsidP="005754B1">
      <w:pPr>
        <w:spacing w:after="0" w:line="240" w:lineRule="auto"/>
      </w:pPr>
      <w:r>
        <w:separator/>
      </w:r>
    </w:p>
  </w:footnote>
  <w:footnote w:type="continuationSeparator" w:id="0">
    <w:p w14:paraId="4815BC6C" w14:textId="77777777" w:rsidR="00BB0B67" w:rsidRDefault="00BB0B67" w:rsidP="005754B1">
      <w:pPr>
        <w:spacing w:after="0" w:line="240" w:lineRule="auto"/>
      </w:pPr>
      <w:r>
        <w:continuationSeparator/>
      </w:r>
    </w:p>
  </w:footnote>
  <w:footnote w:id="1">
    <w:p w14:paraId="1B0411AB" w14:textId="77777777" w:rsidR="0037059A" w:rsidRDefault="0037059A">
      <w:pPr>
        <w:pStyle w:val="Tekstprzypisudolnego"/>
      </w:pPr>
      <w:r w:rsidRPr="0005767F">
        <w:rPr>
          <w:rStyle w:val="Odwoanieprzypisudolnego"/>
        </w:rPr>
        <w:footnoteRef/>
      </w:r>
      <w:r w:rsidRPr="0005767F">
        <w:t xml:space="preserve"> Rozporządzenie Parlamentu Europejskiego i Rady (UE) 2020/852 z dnia 18 czerwca 2020 r. w sprawie ustanowienia ram ułatwiających zrównoważone inwestycje, zmieniające rozporządzenie (UE) 2019/2088 (Dz. Urz. UE L 198 z 22.6.2020, s. 13) https://eur-lex.europa.eu/legalcontent/PL/TXT/PDF/?uri=CELEX:32020R0852&amp;from=PL</w:t>
      </w:r>
    </w:p>
  </w:footnote>
  <w:footnote w:id="2">
    <w:p w14:paraId="1C62C296" w14:textId="77777777" w:rsidR="005F77C7" w:rsidRDefault="005F77C7" w:rsidP="005F77C7">
      <w:pPr>
        <w:pStyle w:val="Tekstprzypisudolnego"/>
        <w:jc w:val="both"/>
      </w:pPr>
      <w:r w:rsidRPr="005F77C7">
        <w:rPr>
          <w:rStyle w:val="Odwoanieprzypisudolnego"/>
        </w:rPr>
        <w:footnoteRef/>
      </w:r>
      <w:r w:rsidRPr="005F77C7">
        <w:t xml:space="preserve"> z</w:t>
      </w:r>
      <w:r w:rsidRPr="005F77C7">
        <w:rPr>
          <w:rFonts w:cs="Calibri"/>
          <w14:ligatures w14:val="standardContextual"/>
        </w:rPr>
        <w:t xml:space="preserve">godnie z art. 2 pkt. 42 ROZPORZĄDZENIE PARLAMENTU EUROPEJSKIEGO I RADY (UE) 2021/1060 z dnia 24 czerwca 2021 r. „uodparnianie na zmiany klimatu” oznacza proces mający na celu zapobieganie podatności infrastruktury na potencjalne długoterminowe skutki zmian klimatu, przy jednoczesnym zapewnieniu przestrzegania zasady </w:t>
      </w:r>
      <w:r w:rsidRPr="00162238">
        <w:rPr>
          <w:rFonts w:cs="Calibri"/>
          <w14:ligatures w14:val="standardContextual"/>
        </w:rPr>
        <w:t>„</w:t>
      </w:r>
      <w:r w:rsidRPr="005F77C7">
        <w:rPr>
          <w:rFonts w:cs="Calibri"/>
          <w14:ligatures w14:val="standardContextual"/>
        </w:rPr>
        <w:t>efektywności energetycznej przede wszystkim</w:t>
      </w:r>
      <w:r w:rsidRPr="00162238">
        <w:rPr>
          <w:rFonts w:cs="Calibri"/>
          <w14:ligatures w14:val="standardContextual"/>
        </w:rPr>
        <w:t>”</w:t>
      </w:r>
      <w:r w:rsidRPr="005F77C7">
        <w:rPr>
          <w:rFonts w:cs="Calibri"/>
          <w14:ligatures w14:val="standardContextual"/>
        </w:rPr>
        <w:t xml:space="preserve"> oraz zgodności poziomu emisji gazów cieplarnianych wynikających z projektu z celem osiągnięcia neutralności klimatycznej w 2050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2C5F"/>
    <w:multiLevelType w:val="hybridMultilevel"/>
    <w:tmpl w:val="975E59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320C0"/>
    <w:multiLevelType w:val="hybridMultilevel"/>
    <w:tmpl w:val="559E17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0A386B"/>
    <w:multiLevelType w:val="hybridMultilevel"/>
    <w:tmpl w:val="1D16223C"/>
    <w:lvl w:ilvl="0" w:tplc="6A0A5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C35E5"/>
    <w:multiLevelType w:val="hybridMultilevel"/>
    <w:tmpl w:val="66E0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D27BDF"/>
    <w:multiLevelType w:val="hybridMultilevel"/>
    <w:tmpl w:val="81285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D6FFB"/>
    <w:multiLevelType w:val="hybridMultilevel"/>
    <w:tmpl w:val="8FAC5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D46C3"/>
    <w:multiLevelType w:val="hybridMultilevel"/>
    <w:tmpl w:val="81729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E25A9"/>
    <w:multiLevelType w:val="hybridMultilevel"/>
    <w:tmpl w:val="7BBC7D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244160"/>
    <w:multiLevelType w:val="hybridMultilevel"/>
    <w:tmpl w:val="5E44AF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032EF"/>
    <w:multiLevelType w:val="hybridMultilevel"/>
    <w:tmpl w:val="59767CE2"/>
    <w:lvl w:ilvl="0" w:tplc="16FE8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81278">
    <w:abstractNumId w:val="5"/>
  </w:num>
  <w:num w:numId="2" w16cid:durableId="1526676687">
    <w:abstractNumId w:val="3"/>
  </w:num>
  <w:num w:numId="3" w16cid:durableId="146821415">
    <w:abstractNumId w:val="1"/>
  </w:num>
  <w:num w:numId="4" w16cid:durableId="1953323883">
    <w:abstractNumId w:val="9"/>
  </w:num>
  <w:num w:numId="5" w16cid:durableId="900948928">
    <w:abstractNumId w:val="0"/>
  </w:num>
  <w:num w:numId="6" w16cid:durableId="2131313391">
    <w:abstractNumId w:val="4"/>
  </w:num>
  <w:num w:numId="7" w16cid:durableId="1692796558">
    <w:abstractNumId w:val="10"/>
  </w:num>
  <w:num w:numId="8" w16cid:durableId="1332685400">
    <w:abstractNumId w:val="12"/>
  </w:num>
  <w:num w:numId="9" w16cid:durableId="1072240182">
    <w:abstractNumId w:val="6"/>
  </w:num>
  <w:num w:numId="10" w16cid:durableId="667096049">
    <w:abstractNumId w:val="2"/>
  </w:num>
  <w:num w:numId="11" w16cid:durableId="157234194">
    <w:abstractNumId w:val="8"/>
  </w:num>
  <w:num w:numId="12" w16cid:durableId="1482041267">
    <w:abstractNumId w:val="11"/>
  </w:num>
  <w:num w:numId="13" w16cid:durableId="1125923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EE"/>
    <w:rsid w:val="00001319"/>
    <w:rsid w:val="00001AD5"/>
    <w:rsid w:val="000069C6"/>
    <w:rsid w:val="00007D77"/>
    <w:rsid w:val="000167EE"/>
    <w:rsid w:val="000172D4"/>
    <w:rsid w:val="00017AD3"/>
    <w:rsid w:val="0002111F"/>
    <w:rsid w:val="00022A9E"/>
    <w:rsid w:val="000246BE"/>
    <w:rsid w:val="00037514"/>
    <w:rsid w:val="00052D83"/>
    <w:rsid w:val="0005767F"/>
    <w:rsid w:val="00057723"/>
    <w:rsid w:val="00061230"/>
    <w:rsid w:val="00082328"/>
    <w:rsid w:val="00082DFB"/>
    <w:rsid w:val="000A2A8C"/>
    <w:rsid w:val="000A54F7"/>
    <w:rsid w:val="000C1356"/>
    <w:rsid w:val="000C3110"/>
    <w:rsid w:val="000C712F"/>
    <w:rsid w:val="000D45A4"/>
    <w:rsid w:val="000F6C33"/>
    <w:rsid w:val="00106BE5"/>
    <w:rsid w:val="0011358E"/>
    <w:rsid w:val="00114BC5"/>
    <w:rsid w:val="0012554D"/>
    <w:rsid w:val="00125A72"/>
    <w:rsid w:val="00125C27"/>
    <w:rsid w:val="00132112"/>
    <w:rsid w:val="00136494"/>
    <w:rsid w:val="0014000B"/>
    <w:rsid w:val="00153F67"/>
    <w:rsid w:val="00162238"/>
    <w:rsid w:val="0016686A"/>
    <w:rsid w:val="001837CD"/>
    <w:rsid w:val="00185AEC"/>
    <w:rsid w:val="001968EB"/>
    <w:rsid w:val="001A0301"/>
    <w:rsid w:val="001A56C4"/>
    <w:rsid w:val="001A7D43"/>
    <w:rsid w:val="001B38D1"/>
    <w:rsid w:val="001C312B"/>
    <w:rsid w:val="001C531D"/>
    <w:rsid w:val="001C6120"/>
    <w:rsid w:val="001E50F1"/>
    <w:rsid w:val="001E7A63"/>
    <w:rsid w:val="001F2CDE"/>
    <w:rsid w:val="00200D14"/>
    <w:rsid w:val="00206D0A"/>
    <w:rsid w:val="0021393B"/>
    <w:rsid w:val="0022515E"/>
    <w:rsid w:val="00226B7A"/>
    <w:rsid w:val="00227CFE"/>
    <w:rsid w:val="00230912"/>
    <w:rsid w:val="0023169B"/>
    <w:rsid w:val="00231AEB"/>
    <w:rsid w:val="00242654"/>
    <w:rsid w:val="00242912"/>
    <w:rsid w:val="0024527B"/>
    <w:rsid w:val="002506BC"/>
    <w:rsid w:val="002542FD"/>
    <w:rsid w:val="00254B82"/>
    <w:rsid w:val="00263B94"/>
    <w:rsid w:val="00275C03"/>
    <w:rsid w:val="00276D8F"/>
    <w:rsid w:val="002779CA"/>
    <w:rsid w:val="00277C59"/>
    <w:rsid w:val="00280262"/>
    <w:rsid w:val="00281697"/>
    <w:rsid w:val="0028241D"/>
    <w:rsid w:val="002863FB"/>
    <w:rsid w:val="002905DF"/>
    <w:rsid w:val="002A0A53"/>
    <w:rsid w:val="002A1569"/>
    <w:rsid w:val="002B457C"/>
    <w:rsid w:val="002C58CD"/>
    <w:rsid w:val="002C679F"/>
    <w:rsid w:val="002D4A12"/>
    <w:rsid w:val="002D78D9"/>
    <w:rsid w:val="002D7FC0"/>
    <w:rsid w:val="002E1AB5"/>
    <w:rsid w:val="002F136F"/>
    <w:rsid w:val="002F152A"/>
    <w:rsid w:val="0030250E"/>
    <w:rsid w:val="00304AD6"/>
    <w:rsid w:val="00323E25"/>
    <w:rsid w:val="00325D6B"/>
    <w:rsid w:val="00334222"/>
    <w:rsid w:val="003514CF"/>
    <w:rsid w:val="00352A37"/>
    <w:rsid w:val="00355499"/>
    <w:rsid w:val="00361D03"/>
    <w:rsid w:val="00364600"/>
    <w:rsid w:val="0037059A"/>
    <w:rsid w:val="00380812"/>
    <w:rsid w:val="00382FA5"/>
    <w:rsid w:val="0038419B"/>
    <w:rsid w:val="00395772"/>
    <w:rsid w:val="003A0756"/>
    <w:rsid w:val="003B37F5"/>
    <w:rsid w:val="003C4CD0"/>
    <w:rsid w:val="003D1767"/>
    <w:rsid w:val="003D5838"/>
    <w:rsid w:val="003E5551"/>
    <w:rsid w:val="003E5C96"/>
    <w:rsid w:val="00410499"/>
    <w:rsid w:val="004202F7"/>
    <w:rsid w:val="00425E6A"/>
    <w:rsid w:val="00427B23"/>
    <w:rsid w:val="0043106F"/>
    <w:rsid w:val="00432098"/>
    <w:rsid w:val="0043681D"/>
    <w:rsid w:val="004458FD"/>
    <w:rsid w:val="00450368"/>
    <w:rsid w:val="00453349"/>
    <w:rsid w:val="00473287"/>
    <w:rsid w:val="004765CE"/>
    <w:rsid w:val="00480219"/>
    <w:rsid w:val="00486062"/>
    <w:rsid w:val="00496894"/>
    <w:rsid w:val="004A72FD"/>
    <w:rsid w:val="004A7B4F"/>
    <w:rsid w:val="004C0447"/>
    <w:rsid w:val="004D162B"/>
    <w:rsid w:val="004D38B5"/>
    <w:rsid w:val="004E6229"/>
    <w:rsid w:val="00503DFF"/>
    <w:rsid w:val="00505711"/>
    <w:rsid w:val="00510BEC"/>
    <w:rsid w:val="00512B99"/>
    <w:rsid w:val="00515267"/>
    <w:rsid w:val="005204C0"/>
    <w:rsid w:val="00525BC2"/>
    <w:rsid w:val="00532449"/>
    <w:rsid w:val="00534E63"/>
    <w:rsid w:val="0053506E"/>
    <w:rsid w:val="00541E0F"/>
    <w:rsid w:val="005420DF"/>
    <w:rsid w:val="005750D9"/>
    <w:rsid w:val="005754B1"/>
    <w:rsid w:val="0058373F"/>
    <w:rsid w:val="005849C5"/>
    <w:rsid w:val="0058587C"/>
    <w:rsid w:val="00594E45"/>
    <w:rsid w:val="005976AC"/>
    <w:rsid w:val="00597ACD"/>
    <w:rsid w:val="005A6684"/>
    <w:rsid w:val="005D2592"/>
    <w:rsid w:val="005D40AB"/>
    <w:rsid w:val="005F1715"/>
    <w:rsid w:val="005F77C7"/>
    <w:rsid w:val="005F77FC"/>
    <w:rsid w:val="00601E0D"/>
    <w:rsid w:val="00614518"/>
    <w:rsid w:val="00621A59"/>
    <w:rsid w:val="006252C7"/>
    <w:rsid w:val="00644D79"/>
    <w:rsid w:val="00651BE6"/>
    <w:rsid w:val="006625DD"/>
    <w:rsid w:val="00670DE0"/>
    <w:rsid w:val="00673E99"/>
    <w:rsid w:val="0067596F"/>
    <w:rsid w:val="00681E73"/>
    <w:rsid w:val="00684A5E"/>
    <w:rsid w:val="006903A0"/>
    <w:rsid w:val="006935F8"/>
    <w:rsid w:val="00694A6A"/>
    <w:rsid w:val="00695807"/>
    <w:rsid w:val="006A50CE"/>
    <w:rsid w:val="006B2514"/>
    <w:rsid w:val="006B2744"/>
    <w:rsid w:val="006B73FF"/>
    <w:rsid w:val="006E16C8"/>
    <w:rsid w:val="006E2F0D"/>
    <w:rsid w:val="006E4874"/>
    <w:rsid w:val="00706AB9"/>
    <w:rsid w:val="007166DD"/>
    <w:rsid w:val="00727D0E"/>
    <w:rsid w:val="007462A5"/>
    <w:rsid w:val="007472A8"/>
    <w:rsid w:val="00754A5B"/>
    <w:rsid w:val="007574D4"/>
    <w:rsid w:val="00767308"/>
    <w:rsid w:val="0076772F"/>
    <w:rsid w:val="00770E98"/>
    <w:rsid w:val="00780DC4"/>
    <w:rsid w:val="00796D16"/>
    <w:rsid w:val="00797518"/>
    <w:rsid w:val="007A2844"/>
    <w:rsid w:val="007B22DB"/>
    <w:rsid w:val="007B5FBC"/>
    <w:rsid w:val="007B7932"/>
    <w:rsid w:val="007D01D5"/>
    <w:rsid w:val="007E5C56"/>
    <w:rsid w:val="007F0282"/>
    <w:rsid w:val="007F7FE0"/>
    <w:rsid w:val="00807C52"/>
    <w:rsid w:val="0081292C"/>
    <w:rsid w:val="008139F6"/>
    <w:rsid w:val="008170B5"/>
    <w:rsid w:val="008242B4"/>
    <w:rsid w:val="0084209E"/>
    <w:rsid w:val="00845C54"/>
    <w:rsid w:val="00851801"/>
    <w:rsid w:val="00853278"/>
    <w:rsid w:val="008559FA"/>
    <w:rsid w:val="00857D77"/>
    <w:rsid w:val="008649E2"/>
    <w:rsid w:val="008713FD"/>
    <w:rsid w:val="00887C2B"/>
    <w:rsid w:val="00893CF0"/>
    <w:rsid w:val="008948A2"/>
    <w:rsid w:val="00895471"/>
    <w:rsid w:val="008A0F0E"/>
    <w:rsid w:val="008A2164"/>
    <w:rsid w:val="008A6831"/>
    <w:rsid w:val="008B22B2"/>
    <w:rsid w:val="008B57D6"/>
    <w:rsid w:val="008B7CA4"/>
    <w:rsid w:val="008C053A"/>
    <w:rsid w:val="008C0D47"/>
    <w:rsid w:val="008D0C99"/>
    <w:rsid w:val="008D61AB"/>
    <w:rsid w:val="008D6FA4"/>
    <w:rsid w:val="008E4B97"/>
    <w:rsid w:val="008F28BA"/>
    <w:rsid w:val="008F58CB"/>
    <w:rsid w:val="00903331"/>
    <w:rsid w:val="00903734"/>
    <w:rsid w:val="0091002D"/>
    <w:rsid w:val="0091104A"/>
    <w:rsid w:val="009346ED"/>
    <w:rsid w:val="0094577F"/>
    <w:rsid w:val="00955629"/>
    <w:rsid w:val="009568E8"/>
    <w:rsid w:val="00957E72"/>
    <w:rsid w:val="009615AF"/>
    <w:rsid w:val="009651D2"/>
    <w:rsid w:val="00974651"/>
    <w:rsid w:val="009979EC"/>
    <w:rsid w:val="009B54A5"/>
    <w:rsid w:val="009C6FFB"/>
    <w:rsid w:val="009F4BD4"/>
    <w:rsid w:val="009F621C"/>
    <w:rsid w:val="00A0172C"/>
    <w:rsid w:val="00A02ADF"/>
    <w:rsid w:val="00A366AA"/>
    <w:rsid w:val="00A4062E"/>
    <w:rsid w:val="00A60ADA"/>
    <w:rsid w:val="00A60B9D"/>
    <w:rsid w:val="00A616FD"/>
    <w:rsid w:val="00A722F7"/>
    <w:rsid w:val="00A7440C"/>
    <w:rsid w:val="00A7570A"/>
    <w:rsid w:val="00A85FAB"/>
    <w:rsid w:val="00A959E6"/>
    <w:rsid w:val="00AA0FA9"/>
    <w:rsid w:val="00AB4535"/>
    <w:rsid w:val="00B04E9E"/>
    <w:rsid w:val="00B13751"/>
    <w:rsid w:val="00B155FA"/>
    <w:rsid w:val="00B246AF"/>
    <w:rsid w:val="00B30C15"/>
    <w:rsid w:val="00B43E9D"/>
    <w:rsid w:val="00B72B0A"/>
    <w:rsid w:val="00B80CD9"/>
    <w:rsid w:val="00B81AA1"/>
    <w:rsid w:val="00B8434C"/>
    <w:rsid w:val="00B87D71"/>
    <w:rsid w:val="00BA0ABF"/>
    <w:rsid w:val="00BB0B67"/>
    <w:rsid w:val="00BB5248"/>
    <w:rsid w:val="00BB58E1"/>
    <w:rsid w:val="00BC36F1"/>
    <w:rsid w:val="00BD693A"/>
    <w:rsid w:val="00BD7D54"/>
    <w:rsid w:val="00BF43F6"/>
    <w:rsid w:val="00C056B3"/>
    <w:rsid w:val="00C2511D"/>
    <w:rsid w:val="00C356E9"/>
    <w:rsid w:val="00C61820"/>
    <w:rsid w:val="00C727DE"/>
    <w:rsid w:val="00CA4322"/>
    <w:rsid w:val="00CA5489"/>
    <w:rsid w:val="00CB0D3E"/>
    <w:rsid w:val="00CB3AB8"/>
    <w:rsid w:val="00CB5019"/>
    <w:rsid w:val="00CD5011"/>
    <w:rsid w:val="00CD69B1"/>
    <w:rsid w:val="00CF134C"/>
    <w:rsid w:val="00D066DE"/>
    <w:rsid w:val="00D11BF8"/>
    <w:rsid w:val="00D21622"/>
    <w:rsid w:val="00D246E0"/>
    <w:rsid w:val="00D32519"/>
    <w:rsid w:val="00D34D77"/>
    <w:rsid w:val="00D45BEA"/>
    <w:rsid w:val="00D46A0F"/>
    <w:rsid w:val="00D534D2"/>
    <w:rsid w:val="00D606B0"/>
    <w:rsid w:val="00D66059"/>
    <w:rsid w:val="00D7412C"/>
    <w:rsid w:val="00D74659"/>
    <w:rsid w:val="00DA159F"/>
    <w:rsid w:val="00DA2073"/>
    <w:rsid w:val="00DA2A15"/>
    <w:rsid w:val="00DA3F9D"/>
    <w:rsid w:val="00DA7A63"/>
    <w:rsid w:val="00DD12B0"/>
    <w:rsid w:val="00DE5929"/>
    <w:rsid w:val="00DF24D6"/>
    <w:rsid w:val="00DF2A07"/>
    <w:rsid w:val="00E025F5"/>
    <w:rsid w:val="00E047D5"/>
    <w:rsid w:val="00E06344"/>
    <w:rsid w:val="00E31FEE"/>
    <w:rsid w:val="00E44049"/>
    <w:rsid w:val="00E611D3"/>
    <w:rsid w:val="00E62E44"/>
    <w:rsid w:val="00E66B70"/>
    <w:rsid w:val="00E77DBA"/>
    <w:rsid w:val="00E85400"/>
    <w:rsid w:val="00E8695E"/>
    <w:rsid w:val="00E906FF"/>
    <w:rsid w:val="00EA548A"/>
    <w:rsid w:val="00EA568C"/>
    <w:rsid w:val="00ED58F9"/>
    <w:rsid w:val="00EE0114"/>
    <w:rsid w:val="00EE2BA1"/>
    <w:rsid w:val="00F02B16"/>
    <w:rsid w:val="00F0335B"/>
    <w:rsid w:val="00F13661"/>
    <w:rsid w:val="00F40240"/>
    <w:rsid w:val="00F542A4"/>
    <w:rsid w:val="00F6390A"/>
    <w:rsid w:val="00F829CD"/>
    <w:rsid w:val="00F84943"/>
    <w:rsid w:val="00FA428E"/>
    <w:rsid w:val="00FC1668"/>
    <w:rsid w:val="00FC4690"/>
    <w:rsid w:val="00FC5202"/>
    <w:rsid w:val="00FD7145"/>
    <w:rsid w:val="00FD7626"/>
    <w:rsid w:val="00FE4704"/>
    <w:rsid w:val="00FE5864"/>
    <w:rsid w:val="00FF2726"/>
    <w:rsid w:val="00FF3369"/>
    <w:rsid w:val="00FF63BE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ADB6"/>
  <w15:chartTrackingRefBased/>
  <w15:docId w15:val="{E5BFACB4-0234-4A1F-9810-E0055016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,Lettre d'introduction"/>
    <w:basedOn w:val="Normalny"/>
    <w:link w:val="AkapitzlistZnak"/>
    <w:uiPriority w:val="34"/>
    <w:qFormat/>
    <w:rsid w:val="006935F8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locked/>
    <w:rsid w:val="00EA548A"/>
    <w:rPr>
      <w:rFonts w:ascii="Calibri" w:eastAsia="Times New Roman" w:hAnsi="Calibri" w:cs="Times New Roman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uiPriority w:val="99"/>
    <w:unhideWhenUsed/>
    <w:qFormat/>
    <w:rsid w:val="005754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754B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5754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C5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C5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5F77FC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50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50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5011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E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E7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5C1A7-E879-43EB-A975-0D90A48C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20</Pages>
  <Words>3513</Words>
  <Characters>21082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Maria  Rusinek</cp:lastModifiedBy>
  <cp:revision>26</cp:revision>
  <cp:lastPrinted>2025-08-08T09:08:00Z</cp:lastPrinted>
  <dcterms:created xsi:type="dcterms:W3CDTF">2025-08-08T08:40:00Z</dcterms:created>
  <dcterms:modified xsi:type="dcterms:W3CDTF">2026-01-23T08:04:00Z</dcterms:modified>
</cp:coreProperties>
</file>