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7AA4" w14:textId="77777777" w:rsidR="00EA7719" w:rsidRDefault="00EA7719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48942D91">
            <wp:extent cx="7562850" cy="771525"/>
            <wp:effectExtent l="0" t="0" r="0" b="952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5B42" w14:textId="353D5190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 xml:space="preserve">Załącznik do Uchwały </w:t>
      </w:r>
    </w:p>
    <w:p w14:paraId="2246B703" w14:textId="2B695416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 xml:space="preserve">Nr </w:t>
      </w:r>
      <w:r w:rsidR="00587472">
        <w:rPr>
          <w:rFonts w:cs="Calibri"/>
          <w:sz w:val="20"/>
          <w:szCs w:val="20"/>
        </w:rPr>
        <w:t>158</w:t>
      </w:r>
      <w:r>
        <w:rPr>
          <w:rFonts w:cs="Calibri"/>
          <w:sz w:val="20"/>
          <w:szCs w:val="20"/>
        </w:rPr>
        <w:t>/</w:t>
      </w:r>
      <w:r w:rsidRPr="00AD5F61">
        <w:rPr>
          <w:rFonts w:cs="Calibri"/>
          <w:sz w:val="20"/>
          <w:szCs w:val="20"/>
        </w:rPr>
        <w:t>2024</w:t>
      </w:r>
      <w:r>
        <w:rPr>
          <w:rFonts w:cs="Calibri"/>
          <w:sz w:val="20"/>
          <w:szCs w:val="20"/>
        </w:rPr>
        <w:t xml:space="preserve"> </w:t>
      </w:r>
      <w:r w:rsidRPr="00AD5F61">
        <w:rPr>
          <w:rFonts w:cs="Calibri"/>
          <w:sz w:val="20"/>
          <w:szCs w:val="20"/>
        </w:rPr>
        <w:t>KM FEO 2021-2027</w:t>
      </w:r>
    </w:p>
    <w:p w14:paraId="0DE7C53C" w14:textId="33D3059B" w:rsidR="00736943" w:rsidRPr="00AD5F61" w:rsidRDefault="00736943" w:rsidP="0073694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AD5F61">
        <w:rPr>
          <w:rFonts w:cs="Calibri"/>
          <w:sz w:val="20"/>
          <w:szCs w:val="20"/>
        </w:rPr>
        <w:t>z dnia 1</w:t>
      </w:r>
      <w:r w:rsidR="00587472">
        <w:rPr>
          <w:rFonts w:cs="Calibri"/>
          <w:sz w:val="20"/>
          <w:szCs w:val="20"/>
        </w:rPr>
        <w:t>7</w:t>
      </w:r>
      <w:r w:rsidRPr="00AD5F61">
        <w:rPr>
          <w:rFonts w:cs="Calibri"/>
          <w:sz w:val="20"/>
          <w:szCs w:val="20"/>
        </w:rPr>
        <w:t xml:space="preserve"> </w:t>
      </w:r>
      <w:r w:rsidR="00587472">
        <w:rPr>
          <w:rFonts w:cs="Calibri"/>
          <w:sz w:val="20"/>
          <w:szCs w:val="20"/>
        </w:rPr>
        <w:t>września</w:t>
      </w:r>
      <w:r w:rsidR="00587472" w:rsidRPr="00AD5F61">
        <w:rPr>
          <w:rFonts w:cs="Calibri"/>
          <w:sz w:val="20"/>
          <w:szCs w:val="20"/>
        </w:rPr>
        <w:t xml:space="preserve"> </w:t>
      </w:r>
      <w:r w:rsidRPr="00AD5F61">
        <w:rPr>
          <w:rFonts w:cs="Calibri"/>
          <w:sz w:val="20"/>
          <w:szCs w:val="20"/>
        </w:rPr>
        <w:t>2024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606365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  <w:r w:rsidR="00924A0E">
        <w:rPr>
          <w:b/>
          <w:color w:val="000099"/>
          <w:sz w:val="36"/>
          <w:szCs w:val="36"/>
        </w:rPr>
        <w:t xml:space="preserve"> 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0AE43792" w14:textId="5CB3831C" w:rsidR="001465A3" w:rsidRPr="001465A3" w:rsidRDefault="00522A83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1.7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515CE9" w:rsidRPr="00515CE9">
        <w:rPr>
          <w:b/>
          <w:color w:val="000099"/>
          <w:sz w:val="36"/>
          <w:szCs w:val="36"/>
        </w:rPr>
        <w:t>Opolskie konkurencyjne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3CE203C6" w:rsidR="00DB38DD" w:rsidRPr="001F7547" w:rsidRDefault="00DB38DD" w:rsidP="005B4ADA">
      <w:pPr>
        <w:spacing w:after="120"/>
        <w:rPr>
          <w:b/>
          <w:color w:val="FF0000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15CE9">
        <w:rPr>
          <w:b/>
          <w:color w:val="000099"/>
          <w:sz w:val="36"/>
          <w:szCs w:val="36"/>
        </w:rPr>
        <w:t xml:space="preserve">MERYTORYCZNE </w:t>
      </w:r>
      <w:r w:rsidR="0046626D">
        <w:rPr>
          <w:b/>
          <w:color w:val="000099"/>
          <w:sz w:val="36"/>
          <w:szCs w:val="36"/>
        </w:rPr>
        <w:t>SZCZEGÓŁOWE</w:t>
      </w:r>
      <w:r w:rsidR="001F7547">
        <w:rPr>
          <w:b/>
          <w:color w:val="000099"/>
          <w:sz w:val="36"/>
          <w:szCs w:val="36"/>
        </w:rPr>
        <w:t xml:space="preserve"> - </w:t>
      </w:r>
      <w:r w:rsidR="001F7547" w:rsidRPr="001F7547">
        <w:rPr>
          <w:b/>
          <w:color w:val="FF0000"/>
          <w:sz w:val="36"/>
          <w:szCs w:val="36"/>
        </w:rPr>
        <w:t>AKTUALIZACJA</w:t>
      </w:r>
    </w:p>
    <w:p w14:paraId="27C6C95C" w14:textId="77777777" w:rsidR="00DB38DD" w:rsidRPr="00DB38DD" w:rsidRDefault="00DB38DD" w:rsidP="005B4ADA">
      <w:pPr>
        <w:rPr>
          <w:b/>
          <w:color w:val="000099"/>
          <w:sz w:val="36"/>
          <w:szCs w:val="36"/>
        </w:rPr>
      </w:pPr>
    </w:p>
    <w:p w14:paraId="1E690E89" w14:textId="77777777" w:rsidR="00745059" w:rsidRDefault="00745059" w:rsidP="005B4ADA">
      <w:pPr>
        <w:rPr>
          <w:b/>
          <w:color w:val="000099"/>
          <w:sz w:val="36"/>
          <w:szCs w:val="36"/>
        </w:rPr>
      </w:pPr>
    </w:p>
    <w:p w14:paraId="2BB8172E" w14:textId="77777777" w:rsidR="00912BFA" w:rsidRDefault="00912BFA" w:rsidP="005B4ADA">
      <w:pPr>
        <w:rPr>
          <w:b/>
          <w:color w:val="000099"/>
          <w:sz w:val="36"/>
          <w:szCs w:val="36"/>
        </w:rPr>
      </w:pPr>
    </w:p>
    <w:p w14:paraId="5737197C" w14:textId="418AD15E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Opole, </w:t>
      </w:r>
      <w:r w:rsidR="00662610">
        <w:rPr>
          <w:b/>
          <w:color w:val="000099"/>
          <w:sz w:val="36"/>
          <w:szCs w:val="36"/>
        </w:rPr>
        <w:t>wrzesień</w:t>
      </w:r>
      <w:r w:rsidR="00587472">
        <w:rPr>
          <w:b/>
          <w:color w:val="000099"/>
          <w:sz w:val="36"/>
          <w:szCs w:val="36"/>
        </w:rPr>
        <w:t xml:space="preserve"> </w:t>
      </w:r>
      <w:r>
        <w:rPr>
          <w:b/>
          <w:color w:val="000099"/>
          <w:sz w:val="36"/>
          <w:szCs w:val="36"/>
        </w:rPr>
        <w:t>202</w:t>
      </w:r>
      <w:r w:rsidR="000E5C87">
        <w:rPr>
          <w:b/>
          <w:color w:val="000099"/>
          <w:sz w:val="36"/>
          <w:szCs w:val="36"/>
        </w:rPr>
        <w:t>5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6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9"/>
        <w:gridCol w:w="12446"/>
      </w:tblGrid>
      <w:tr w:rsidR="00090BF6" w:rsidRPr="0078417B" w14:paraId="22EFA43C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61DED010" w14:textId="71E3513D" w:rsidR="00090BF6" w:rsidRPr="008B76A6" w:rsidRDefault="000D59FE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="00285A8C"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090BF6" w14:paraId="5BB7C34D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263F0BE3" w14:textId="0D18F82C" w:rsidR="00090BF6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konkurencyjnym </w:t>
            </w:r>
          </w:p>
        </w:tc>
      </w:tr>
      <w:tr w:rsidR="00467505" w14:paraId="6A3EA328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463EEA59" w14:textId="77777777" w:rsidR="00467505" w:rsidRDefault="0046750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  <w:p w14:paraId="54B38FA0" w14:textId="77777777" w:rsidR="00467505" w:rsidRDefault="00467505" w:rsidP="00912BF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Inwestycje w nowoczesne maszyny i urządzenia oraz sprzęt produkcyjny, wartości niematerialne i prawne wraz z doradztwem/szkoleniem,</w:t>
            </w:r>
          </w:p>
          <w:p w14:paraId="7CF0E53D" w14:textId="0005AA47" w:rsidR="00467505" w:rsidRPr="008A00F5" w:rsidRDefault="00467505" w:rsidP="008A00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w celu wprowadzenia na rynek nowych produktów lub usług – wyłącznie dla MŚP z terenu Subregionu Południowego (powiat: głubczycki, nyski 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8A00F5">
              <w:rPr>
                <w:b/>
                <w:color w:val="000099"/>
                <w:sz w:val="24"/>
                <w:szCs w:val="24"/>
                <w:lang w:eastAsia="pl-PL"/>
              </w:rPr>
              <w:t>prudnicki).</w:t>
            </w:r>
          </w:p>
          <w:p w14:paraId="26CC6C35" w14:textId="61D0898B" w:rsidR="00467505" w:rsidRDefault="00467505" w:rsidP="0046750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Inwestycje w MŚP  zwiększających skalę ich działalności oraz wzrost zasięgu ofert </w:t>
            </w:r>
            <w:r w:rsidRPr="00467505">
              <w:rPr>
                <w:b/>
                <w:color w:val="000099"/>
                <w:sz w:val="24"/>
                <w:szCs w:val="24"/>
                <w:lang w:eastAsia="pl-PL"/>
              </w:rPr>
              <w:t xml:space="preserve">– wyłącznie dla MŚP z terenu Subregionu Południowego (powiat: </w:t>
            </w:r>
          </w:p>
          <w:p w14:paraId="524CE01D" w14:textId="0666D614" w:rsidR="00467505" w:rsidRPr="00912BFA" w:rsidRDefault="006E73CC" w:rsidP="006E73CC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 </w:t>
            </w:r>
            <w:r w:rsidR="00467505" w:rsidRPr="00912BFA">
              <w:rPr>
                <w:b/>
                <w:color w:val="000099"/>
                <w:sz w:val="24"/>
                <w:szCs w:val="24"/>
                <w:lang w:eastAsia="pl-PL"/>
              </w:rPr>
              <w:t>głubczycki, nyski i prudnicki).</w:t>
            </w:r>
          </w:p>
        </w:tc>
      </w:tr>
      <w:tr w:rsidR="008B76A6" w14:paraId="51544F6A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4CB697F0" w:rsidR="008B76A6" w:rsidRPr="00A63977" w:rsidRDefault="0032334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(TAK/NIE)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62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"/>
        <w:gridCol w:w="2683"/>
        <w:gridCol w:w="9978"/>
        <w:gridCol w:w="2696"/>
      </w:tblGrid>
      <w:tr w:rsidR="007E6722" w:rsidRPr="001015B8" w14:paraId="4253F0C2" w14:textId="686E55B6" w:rsidTr="007E6722">
        <w:trPr>
          <w:cantSplit/>
          <w:trHeight w:val="595"/>
          <w:tblHeader/>
          <w:jc w:val="center"/>
        </w:trPr>
        <w:tc>
          <w:tcPr>
            <w:tcW w:w="118" w:type="pct"/>
            <w:shd w:val="clear" w:color="auto" w:fill="D9D9D9"/>
            <w:noWrap/>
            <w:vAlign w:val="center"/>
          </w:tcPr>
          <w:p w14:paraId="2D60E38B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853" w:type="pct"/>
            <w:shd w:val="clear" w:color="auto" w:fill="D9D9D9"/>
            <w:noWrap/>
            <w:vAlign w:val="center"/>
          </w:tcPr>
          <w:p w14:paraId="7906209D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72" w:type="pct"/>
            <w:shd w:val="clear" w:color="auto" w:fill="D9D9D9"/>
            <w:vAlign w:val="center"/>
          </w:tcPr>
          <w:p w14:paraId="7B1E0E0F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857" w:type="pct"/>
            <w:shd w:val="clear" w:color="auto" w:fill="D9D9D9"/>
            <w:vAlign w:val="center"/>
          </w:tcPr>
          <w:p w14:paraId="4B0E4C5C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7E6722" w:rsidRPr="0073524C" w14:paraId="3A15FAE5" w14:textId="512A0A57" w:rsidTr="007E6722">
        <w:trPr>
          <w:cantSplit/>
          <w:trHeight w:val="255"/>
          <w:tblHeader/>
          <w:jc w:val="center"/>
        </w:trPr>
        <w:tc>
          <w:tcPr>
            <w:tcW w:w="118" w:type="pct"/>
            <w:shd w:val="clear" w:color="auto" w:fill="F2F2F2"/>
            <w:noWrap/>
            <w:vAlign w:val="bottom"/>
          </w:tcPr>
          <w:p w14:paraId="29482B3A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53" w:type="pct"/>
            <w:shd w:val="clear" w:color="auto" w:fill="F2F2F2"/>
            <w:noWrap/>
            <w:vAlign w:val="bottom"/>
          </w:tcPr>
          <w:p w14:paraId="50AF275C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72" w:type="pct"/>
            <w:shd w:val="clear" w:color="auto" w:fill="F2F2F2"/>
            <w:vAlign w:val="bottom"/>
          </w:tcPr>
          <w:p w14:paraId="6A85E5B6" w14:textId="21D28D11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857" w:type="pct"/>
            <w:shd w:val="clear" w:color="auto" w:fill="F2F2F2"/>
          </w:tcPr>
          <w:p w14:paraId="2DCA6989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7E6722" w:rsidRPr="00796D16" w14:paraId="15E25534" w14:textId="05D1AA1F" w:rsidTr="007E6722">
        <w:trPr>
          <w:trHeight w:val="644"/>
          <w:jc w:val="center"/>
        </w:trPr>
        <w:tc>
          <w:tcPr>
            <w:tcW w:w="118" w:type="pct"/>
            <w:noWrap/>
            <w:vAlign w:val="center"/>
          </w:tcPr>
          <w:p w14:paraId="7846EABF" w14:textId="77777777" w:rsidR="007E6722" w:rsidRPr="00AD701D" w:rsidRDefault="007E6722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3" w:type="pct"/>
            <w:vAlign w:val="center"/>
          </w:tcPr>
          <w:p w14:paraId="53A88D22" w14:textId="45A6DA5F" w:rsidR="007E6722" w:rsidRPr="00AD701D" w:rsidRDefault="007E6722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3172" w:type="pct"/>
            <w:vAlign w:val="center"/>
          </w:tcPr>
          <w:p w14:paraId="13E51275" w14:textId="1312CD42" w:rsidR="007E6722" w:rsidRPr="00323345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Kryteria inwestycji początkowej zgodnie z zapisami Rozporządzenia Ministra Funduszy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Polityki Regionalnej z dnia 11 października 2022 r. w sprawie udzielania regionalnej pomocy inwestycyjnej w ramach  programów regionalnych na lata 2021-2027.</w:t>
            </w:r>
          </w:p>
          <w:p w14:paraId="20DAD467" w14:textId="2CBFE4DE" w:rsidR="007E6722" w:rsidRPr="00323345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dotyczy jedynie projektów objętych Regionalną Pomocą Inwestycyjną.</w:t>
            </w:r>
          </w:p>
          <w:p w14:paraId="5FFA8587" w14:textId="06134937" w:rsidR="007E6722" w:rsidRPr="00AD701D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28E1704C" w14:textId="77777777" w:rsidR="007E6722" w:rsidRPr="00AD701D" w:rsidRDefault="007E6722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7E6722" w:rsidRPr="00796D16" w14:paraId="66E97513" w14:textId="37DFBCBA" w:rsidTr="007E6722">
        <w:trPr>
          <w:trHeight w:val="795"/>
          <w:jc w:val="center"/>
        </w:trPr>
        <w:tc>
          <w:tcPr>
            <w:tcW w:w="118" w:type="pct"/>
            <w:noWrap/>
            <w:vAlign w:val="center"/>
          </w:tcPr>
          <w:p w14:paraId="26EB5A7F" w14:textId="201F9B73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853" w:type="pct"/>
            <w:vAlign w:val="center"/>
          </w:tcPr>
          <w:p w14:paraId="2DFB933A" w14:textId="2F081FCF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3172" w:type="pct"/>
            <w:vAlign w:val="center"/>
          </w:tcPr>
          <w:p w14:paraId="37BD55CC" w14:textId="3E21585E" w:rsidR="007E6722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Projekt realizowany jest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terenie 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, tj. w powiecie nyskim, prudnickim lub głubczyckim, </w:t>
            </w:r>
            <w:r w:rsidR="000E5C87" w:rsidRPr="0004295C">
              <w:rPr>
                <w:rFonts w:cs="Calibri"/>
                <w:sz w:val="24"/>
                <w:szCs w:val="24"/>
              </w:rPr>
              <w:t>oraz na terenach gmin poszkodowanych na skutek powodzi tj. w powiecie brzeskim, kędzierzyńsko – kozielskim, krapkowickim, opolskim</w:t>
            </w:r>
            <w:r w:rsidR="000E5C87" w:rsidRPr="0004295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  <w:r w:rsidR="000E5C87">
              <w:t xml:space="preserve"> 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zgodnie z zapisami FEO 2021-2027.  Wsparciem objęte zostaną jedynie projekty realizowane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, tj. w powiecie nyskim, 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prudnickim lub głubczyckim</w:t>
            </w:r>
            <w:r w:rsidR="000E5C87">
              <w:t xml:space="preserve"> </w:t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>oraz z terenów gmin poszkodowanych na skutek powodzi w zakres który wchodzą powiaty:  brzeski, kędzierzyńsko – kozielski, krapkowicki, opolski</w:t>
            </w:r>
            <w:r w:rsidR="000E5C87" w:rsidRPr="0004295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54D74" w14:textId="3634DC26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750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0D394A1D" w14:textId="1C2FD5BC" w:rsidR="007E6722" w:rsidRPr="00AD701D" w:rsidRDefault="007E6722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04A17D8" w14:textId="77777777" w:rsidR="00090BF6" w:rsidRDefault="00090BF6"/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0"/>
      </w:tblGrid>
      <w:tr w:rsidR="005A4F35" w:rsidRPr="008B76A6" w14:paraId="2ED4D4AD" w14:textId="77777777" w:rsidTr="005A4F35">
        <w:trPr>
          <w:trHeight w:val="442"/>
        </w:trPr>
        <w:tc>
          <w:tcPr>
            <w:tcW w:w="15730" w:type="dxa"/>
            <w:shd w:val="clear" w:color="auto" w:fill="D9D9D9"/>
            <w:noWrap/>
            <w:vAlign w:val="center"/>
          </w:tcPr>
          <w:p w14:paraId="20F9EBB9" w14:textId="73016C8E" w:rsidR="005A4F35" w:rsidRDefault="005A4F35" w:rsidP="005A4F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punktowane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)</w:t>
            </w:r>
          </w:p>
        </w:tc>
      </w:tr>
    </w:tbl>
    <w:p w14:paraId="7BABFCE7" w14:textId="77777777" w:rsidR="006E73CC" w:rsidRPr="006E73CC" w:rsidRDefault="006E73CC" w:rsidP="006E73CC">
      <w:pPr>
        <w:spacing w:after="0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258"/>
        <w:gridCol w:w="8223"/>
        <w:gridCol w:w="1560"/>
        <w:gridCol w:w="708"/>
        <w:gridCol w:w="1560"/>
      </w:tblGrid>
      <w:tr w:rsidR="007E6722" w:rsidRPr="00E73325" w14:paraId="2AEA143E" w14:textId="297333AA" w:rsidTr="007E6722">
        <w:trPr>
          <w:trHeight w:val="748"/>
          <w:tblHeader/>
        </w:trPr>
        <w:tc>
          <w:tcPr>
            <w:tcW w:w="4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45E12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3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FDC79FB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22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84044C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49AB79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E830CE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Waga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491DD78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Punktacja</w:t>
            </w:r>
          </w:p>
        </w:tc>
      </w:tr>
      <w:tr w:rsidR="007E6722" w:rsidRPr="00E73325" w14:paraId="4355E757" w14:textId="4C7EFCA2" w:rsidTr="007E6722">
        <w:trPr>
          <w:trHeight w:val="255"/>
          <w:tblHeader/>
        </w:trPr>
        <w:tc>
          <w:tcPr>
            <w:tcW w:w="421" w:type="dxa"/>
            <w:shd w:val="clear" w:color="auto" w:fill="F2F2F2" w:themeFill="background1" w:themeFillShade="F2"/>
            <w:noWrap/>
            <w:vAlign w:val="bottom"/>
          </w:tcPr>
          <w:p w14:paraId="71176B9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 w:rsidRPr="00E73325"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258" w:type="dxa"/>
            <w:shd w:val="clear" w:color="auto" w:fill="F2F2F2" w:themeFill="background1" w:themeFillShade="F2"/>
            <w:noWrap/>
          </w:tcPr>
          <w:p w14:paraId="2A8723E6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223" w:type="dxa"/>
            <w:shd w:val="clear" w:color="auto" w:fill="F2F2F2" w:themeFill="background1" w:themeFillShade="F2"/>
            <w:vAlign w:val="bottom"/>
          </w:tcPr>
          <w:p w14:paraId="1D78F04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43A6460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5CD8846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795B6C47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7E6722" w:rsidRPr="00E73325" w14:paraId="176CD6D1" w14:textId="50AD76BF" w:rsidTr="007E6722">
        <w:tc>
          <w:tcPr>
            <w:tcW w:w="421" w:type="dxa"/>
            <w:noWrap/>
            <w:vAlign w:val="center"/>
          </w:tcPr>
          <w:p w14:paraId="5198BEB5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58" w:type="dxa"/>
            <w:vAlign w:val="center"/>
          </w:tcPr>
          <w:p w14:paraId="6BD9183E" w14:textId="50800423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wsparcia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 Specjalizacji Regionalnych</w:t>
            </w:r>
          </w:p>
        </w:tc>
        <w:tc>
          <w:tcPr>
            <w:tcW w:w="8223" w:type="dxa"/>
            <w:vAlign w:val="center"/>
          </w:tcPr>
          <w:p w14:paraId="0283F159" w14:textId="77777777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Weryfikacji podlega, czy profil działalności wspieranego przedsiębiorstwa oraz zakres wsparcia wpisuje się w zapisy dokumentu Regionalna Strategia Innowacji Województwa Opolskiego 2030 w odniesieniu do  regionalnych specjalizacji  inteligentnych w województwie opolskim.</w:t>
            </w:r>
          </w:p>
          <w:p w14:paraId="1ACE8953" w14:textId="44508214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- profil działalności wspieranego przedsiębiorstwa oraz zakres wsparcia nie wpisuje się w regionalne specjalizacje  inteligentne, potencjalne regionalne specjalizacje inteligentne oraz specjalizacje regionalne w województwie opolskim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;</w:t>
            </w:r>
          </w:p>
          <w:p w14:paraId="0076EC28" w14:textId="5847A65D" w:rsidR="007E6722" w:rsidRPr="00323345" w:rsidRDefault="007E6722" w:rsidP="00D9789C">
            <w:pPr>
              <w:rPr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00D9789C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1 pkt -  profil działalności wspieranego przedsiębiorstwa oraz zakres wsparcia wpisuje się w potencjalne regionalne specjalizacje  inteligentne w województwie opolskim lub specjalizacje regionalne;</w:t>
            </w:r>
          </w:p>
          <w:p w14:paraId="6D4E6B15" w14:textId="7E489E00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-  profil działalności wspieranego przedsiębiorstwa oraz zakres wsparcia wpisuje się w jedną z regionalnych specjalizacji  inteligentnych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województwie opolskim.</w:t>
            </w:r>
          </w:p>
          <w:p w14:paraId="746EF971" w14:textId="1FBAE1B2" w:rsidR="007E6722" w:rsidRPr="008A3B52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dofinansowanie i załączników oraz informacji zawartych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dokumentach rejestrowych wnioskodawcy i/lub wyjaśnień udzielonych przez Wnioskodawcę  oraz na podstawie centralnych rejestrów (CEIDG, REGON, KRS). Pod uwagę brana będzie aktualna na moment ogłoszenia naboru Regionalna Strategia Innowacji Województwa Opolskiego 2030.</w:t>
            </w:r>
          </w:p>
        </w:tc>
        <w:tc>
          <w:tcPr>
            <w:tcW w:w="1560" w:type="dxa"/>
            <w:vAlign w:val="center"/>
          </w:tcPr>
          <w:p w14:paraId="60645052" w14:textId="77777777" w:rsidR="007E6722" w:rsidRPr="006E73CC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73CC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  <w:p w14:paraId="036A45C4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rozstrzygające nr 2</w:t>
            </w:r>
          </w:p>
        </w:tc>
        <w:tc>
          <w:tcPr>
            <w:tcW w:w="708" w:type="dxa"/>
            <w:vAlign w:val="center"/>
          </w:tcPr>
          <w:p w14:paraId="1F0319DE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5040CD3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70F38C3F" w14:textId="11C2B0E3" w:rsidTr="007E6722">
        <w:tc>
          <w:tcPr>
            <w:tcW w:w="421" w:type="dxa"/>
            <w:noWrap/>
            <w:vAlign w:val="center"/>
          </w:tcPr>
          <w:p w14:paraId="4579D370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258" w:type="dxa"/>
            <w:vAlign w:val="center"/>
          </w:tcPr>
          <w:p w14:paraId="6DB13C69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Poziom przedsiębiorczości na obszarze, na którym planowana jest realizacja projektu</w:t>
            </w:r>
          </w:p>
        </w:tc>
        <w:tc>
          <w:tcPr>
            <w:tcW w:w="8223" w:type="dxa"/>
            <w:vAlign w:val="center"/>
          </w:tcPr>
          <w:p w14:paraId="45BBF209" w14:textId="77777777" w:rsidR="00A76D0F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Pod uwagę brane są aktualne dane statystyczne GUS dot.  podmiotów gospodarki narodowej w rejestrze REGON na 1000 ludności.  Poziom przedsiębiorczości obliczany jest dla każdej gminy</w:t>
            </w:r>
            <w:r w:rsidR="00A76D0F">
              <w:rPr>
                <w:sz w:val="24"/>
              </w:rPr>
              <w:t>:</w:t>
            </w:r>
          </w:p>
          <w:p w14:paraId="2C6186B0" w14:textId="2047E0B9" w:rsidR="00A76D0F" w:rsidRDefault="007E6722" w:rsidP="00A76D0F">
            <w:pPr>
              <w:pStyle w:val="Akapitzlist"/>
              <w:numPr>
                <w:ilvl w:val="0"/>
                <w:numId w:val="26"/>
              </w:numPr>
              <w:rPr>
                <w:sz w:val="24"/>
              </w:rPr>
            </w:pPr>
            <w:r w:rsidRPr="00A76D0F">
              <w:rPr>
                <w:sz w:val="24"/>
              </w:rPr>
              <w:t xml:space="preserve">na obszarze Subregionu Południowego (powiat: głubczycki, nyski i prudnicki), </w:t>
            </w:r>
          </w:p>
          <w:p w14:paraId="4629A6CF" w14:textId="712B33A7" w:rsidR="00A76D0F" w:rsidRPr="0004295C" w:rsidRDefault="00A76D0F" w:rsidP="00A76D0F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4295C">
              <w:rPr>
                <w:rFonts w:asciiTheme="minorHAnsi" w:hAnsiTheme="minorHAnsi" w:cstheme="minorHAnsi"/>
                <w:sz w:val="24"/>
                <w:szCs w:val="24"/>
              </w:rPr>
              <w:t>poszkodowanej na skutek powodzi położonej na terenie powiatów: brzeskiego, kędzierzyńsko – kozielskiego, krapkowickiego, opolskiego</w:t>
            </w:r>
            <w:r w:rsidRPr="0004295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295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(dot. MŚP  poszkodowanych na skutek powodzi z września 2024 roku)</w:t>
            </w:r>
            <w:r w:rsidRPr="000429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3678859" w14:textId="2EA68ADA" w:rsidR="007E6722" w:rsidRPr="0004295C" w:rsidRDefault="007E6722" w:rsidP="00A76D0F">
            <w:pPr>
              <w:rPr>
                <w:sz w:val="24"/>
              </w:rPr>
            </w:pPr>
            <w:r w:rsidRPr="0004295C">
              <w:rPr>
                <w:sz w:val="24"/>
              </w:rPr>
              <w:t xml:space="preserve">a następnie ustalany jest ranking punktowy zgodnie z porządkiem rosnącym. Odpowiednią ilość pkt przydziela się dla określonego przedziału wartości. </w:t>
            </w:r>
            <w:r w:rsidRPr="0004295C">
              <w:rPr>
                <w:sz w:val="24"/>
              </w:rPr>
              <w:lastRenderedPageBreak/>
              <w:t>Priorytetowo będą traktowane projekty z obszarów o najniższym  poziomie  przedsiębiorczości.</w:t>
            </w:r>
          </w:p>
          <w:p w14:paraId="75E69013" w14:textId="094983AA" w:rsidR="007E6722" w:rsidRPr="0032334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Aktualny ranking stanowi załącznik do Regulaminu wyboru projektów w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ramach każdego naboru.</w:t>
            </w:r>
          </w:p>
          <w:p w14:paraId="29322FA0" w14:textId="460E2E0D" w:rsidR="007E6722" w:rsidRPr="00E7332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Kryterium  weryfikowane na podstawie zapisów wniosku o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dofinansowanie i załączników oraz aktualnego rankingu na podstawie danych GUS.</w:t>
            </w:r>
          </w:p>
        </w:tc>
        <w:tc>
          <w:tcPr>
            <w:tcW w:w="1560" w:type="dxa"/>
            <w:vAlign w:val="center"/>
          </w:tcPr>
          <w:p w14:paraId="0559D76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62A87E4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7502368C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1-4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7E6722" w:rsidRPr="00E73325" w14:paraId="0AA99AD5" w14:textId="6778E1B9" w:rsidTr="007E6722">
        <w:trPr>
          <w:trHeight w:val="7893"/>
        </w:trPr>
        <w:tc>
          <w:tcPr>
            <w:tcW w:w="421" w:type="dxa"/>
            <w:noWrap/>
            <w:vAlign w:val="center"/>
          </w:tcPr>
          <w:p w14:paraId="4A584299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58" w:type="dxa"/>
            <w:vAlign w:val="center"/>
          </w:tcPr>
          <w:p w14:paraId="36FFCF35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Nowoutworzone w wyniku realizacji projektu miejsca pracy</w:t>
            </w:r>
          </w:p>
        </w:tc>
        <w:tc>
          <w:tcPr>
            <w:tcW w:w="8223" w:type="dxa"/>
            <w:vAlign w:val="center"/>
          </w:tcPr>
          <w:p w14:paraId="0EBD061D" w14:textId="77777777" w:rsidR="007E6722" w:rsidRPr="00323345" w:rsidRDefault="007E6722" w:rsidP="008A00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przyczyni się do utworzenia w przedsiębiorstwie nowych miejsc pracy. Miejsca pracy przeliczane są na ekwiwalent pełnego czasu pracy (EPC).</w:t>
            </w:r>
          </w:p>
          <w:p w14:paraId="04A0428F" w14:textId="6AFCD5D7" w:rsidR="007E6722" w:rsidRPr="00323345" w:rsidRDefault="007E6722" w:rsidP="006E73C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Praca w niepełnym wymiarze godzin powinna zostać przeliczona na odpowiednią część EPC (np. praca całoroczna w wymiarze pół etatu  0,5 etatu = 0,5 EPC). Pod uwagę brane są wyłącznie nowe etaty stworzone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ramach umowy o pracę.</w:t>
            </w:r>
          </w:p>
          <w:p w14:paraId="13260806" w14:textId="77777777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W wyniku realizacji projektu powstanie:</w:t>
            </w:r>
          </w:p>
          <w:p w14:paraId="350E77C4" w14:textId="7FA5C2D3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≤ 0,5 nowego etatu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156CC7" w14:textId="15300E9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0,5 ≤ 1,0  nowego etatu – 1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BFAC836" w14:textId="6FAC8D1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1,0 ≤ 2,0 nowych etatów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EDFA91E" w14:textId="77777777" w:rsidR="007E6722" w:rsidRPr="00323345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2,0 nowych etatów – 3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2B1D43" w14:textId="3BA9A615" w:rsidR="00C0515E" w:rsidRPr="00C0515E" w:rsidRDefault="007E6722" w:rsidP="00C051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Weryfikacji liczby nowoutworzonych miejsc pracy dokonuje się na podstawie wartości docelowej wskaźnika: </w:t>
            </w:r>
            <w:r w:rsidRPr="00912B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Miejsca pracy utworzone we wspieranych jednostkach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360E7E57" w14:textId="77777777" w:rsidR="007E6722" w:rsidRPr="00323345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3345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</w:t>
            </w:r>
          </w:p>
          <w:p w14:paraId="651191C4" w14:textId="77777777" w:rsidR="007E6722" w:rsidRPr="00431074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</w:rPr>
              <w:t>rozstrzygające nr 1</w:t>
            </w:r>
          </w:p>
        </w:tc>
        <w:tc>
          <w:tcPr>
            <w:tcW w:w="708" w:type="dxa"/>
            <w:vAlign w:val="center"/>
          </w:tcPr>
          <w:p w14:paraId="6E11F4F3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41EF0BEF" w14:textId="3AC4E66A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7E6722" w:rsidRPr="00E73325" w14:paraId="4D0AE82A" w14:textId="5AE59F8C" w:rsidTr="007E6722">
        <w:trPr>
          <w:trHeight w:val="8177"/>
        </w:trPr>
        <w:tc>
          <w:tcPr>
            <w:tcW w:w="421" w:type="dxa"/>
            <w:noWrap/>
            <w:vAlign w:val="center"/>
          </w:tcPr>
          <w:p w14:paraId="27A58A0A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8" w:type="dxa"/>
            <w:vAlign w:val="center"/>
          </w:tcPr>
          <w:p w14:paraId="14AD5F01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Gotowość projektu do realizacji</w:t>
            </w:r>
          </w:p>
        </w:tc>
        <w:tc>
          <w:tcPr>
            <w:tcW w:w="8223" w:type="dxa"/>
            <w:vAlign w:val="center"/>
          </w:tcPr>
          <w:p w14:paraId="5A2253C5" w14:textId="77777777" w:rsidR="007E6722" w:rsidRPr="00C8301F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 ramach kryterium będzie sprawdzane na jakim etapie przygotowania znajduje się projekt:</w:t>
            </w:r>
          </w:p>
          <w:p w14:paraId="71F4A56C" w14:textId="5154ADA1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uzgodnień, ale jeszcze ich nie uzyskał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17B1FE9" w14:textId="3895DC78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 i posiada wszystkie ostateczne wymagane prawem decyzje budowlane, decyzje środowiskowe, pozwolenia, licencje, uzgodnienia dla całego zakresu inwestycji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B841B43" w14:textId="77777777" w:rsidR="007E6722" w:rsidRPr="006E73CC" w:rsidRDefault="007E6722" w:rsidP="006E73C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616CF94" w14:textId="51F579F6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12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nie wymaga uzyskania określonych prawem decyzji budowlanych, decyzji środowiskowych, pozwoleń, licencji, uzgodnień – 2 pkt.</w:t>
            </w:r>
          </w:p>
          <w:p w14:paraId="04262C86" w14:textId="77777777" w:rsidR="007E6722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Punkty w ramach kryterium zostaną przyznane jeżeli ostateczna decyzja budowlana, decyzja środowiskowa, pozwolenie, licencja, uzgodnienie zostanie dołączone do rozpoczęcia etapu oceny merytorycznej.</w:t>
            </w:r>
          </w:p>
          <w:p w14:paraId="4786B64B" w14:textId="3DB6F47D" w:rsidR="007E6722" w:rsidRPr="00E7332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160C3C2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E6B928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2FE05AD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2 pkt</w:t>
            </w:r>
          </w:p>
        </w:tc>
      </w:tr>
      <w:tr w:rsidR="007E6722" w:rsidRPr="00E73325" w14:paraId="45DFA340" w14:textId="0157428C" w:rsidTr="007E6722">
        <w:tc>
          <w:tcPr>
            <w:tcW w:w="421" w:type="dxa"/>
            <w:noWrap/>
            <w:vAlign w:val="center"/>
          </w:tcPr>
          <w:p w14:paraId="3679743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8" w:type="dxa"/>
            <w:vAlign w:val="center"/>
          </w:tcPr>
          <w:p w14:paraId="6C6C3D7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Miejsce realizacji projektu</w:t>
            </w:r>
          </w:p>
        </w:tc>
        <w:tc>
          <w:tcPr>
            <w:tcW w:w="8223" w:type="dxa"/>
            <w:vAlign w:val="center"/>
          </w:tcPr>
          <w:p w14:paraId="0F7EF61E" w14:textId="77777777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W 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mach kryterium będzie weryfikowane miejsce realizacji projektu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4B4A85B" w14:textId="77777777" w:rsidR="007E6722" w:rsidRPr="00C8301F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0 pkt – pozostałe obszary;</w:t>
            </w:r>
          </w:p>
          <w:p w14:paraId="03DAF72B" w14:textId="0084D321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 xml:space="preserve">1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obszar na terenie subregionu południowego zidentyfikowany jako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OSI krajowe (tj. miasta średnie tracące funkcje </w:t>
            </w:r>
            <w:proofErr w:type="spellStart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społeczno</w:t>
            </w:r>
            <w:proofErr w:type="spellEnd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 - gospodarcze oraz obszary zagrożone trwałą marginalizacją</w:t>
            </w:r>
            <w:r>
              <w:t xml:space="preserve">)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-  zostały one wskazane w Krajowej Strategii Rozwoju Regionalnego 2030</w:t>
            </w:r>
            <w:r w:rsidR="000E5C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5C87" w:rsidRPr="00587472">
              <w:rPr>
                <w:rFonts w:asciiTheme="minorHAnsi" w:hAnsiTheme="minorHAnsi" w:cstheme="minorHAnsi"/>
                <w:sz w:val="24"/>
                <w:szCs w:val="24"/>
              </w:rPr>
              <w:t xml:space="preserve">oraz </w:t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>na terenach gmin poszkodowanych na skutek powodzi (powiat: brzeski, kędzierzyńsko – kozielski, krapkowicki, opolski)</w:t>
            </w:r>
            <w:r w:rsidR="000E5C87" w:rsidRPr="0004295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Pr="005874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D52543" w14:textId="37D3454B" w:rsidR="007E6722" w:rsidRPr="007F0883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6D034E6F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32E4E30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11E629D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7E6722" w:rsidRPr="00E73325" w14:paraId="26FED442" w14:textId="2F6C25A3" w:rsidTr="007E6722">
        <w:tc>
          <w:tcPr>
            <w:tcW w:w="421" w:type="dxa"/>
            <w:noWrap/>
            <w:vAlign w:val="center"/>
          </w:tcPr>
          <w:p w14:paraId="2F86A40B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258" w:type="dxa"/>
            <w:vAlign w:val="center"/>
          </w:tcPr>
          <w:p w14:paraId="5B501302" w14:textId="6066681A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Realizacja projektu przyczyni się do wdrożenia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przedsiębiorstwie innowacji produktowych i/lub innowacji procesów biznesowych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zakresie produkcji wyrobów lub usług</w:t>
            </w:r>
          </w:p>
        </w:tc>
        <w:tc>
          <w:tcPr>
            <w:tcW w:w="8223" w:type="dxa"/>
            <w:vAlign w:val="center"/>
          </w:tcPr>
          <w:p w14:paraId="29F62BD7" w14:textId="231BD6B2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Ocenie podlega, czy realizacja projektu przyczyni się do wprowadzenia w przedsiębiorstwie innowacji produktowych i/lub innowacji procesów biznesowych w zakresie produkcji wyrobów lub usług, który stanowi podstawową funkcję przedsiębiorstwa polegającą na produkcji wyrobów i usług.</w:t>
            </w:r>
          </w:p>
          <w:p w14:paraId="63FC9119" w14:textId="189B9B33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Do oceny kryterium przyjmuje się definicję innowacji określoną w podręczniku OECD Podręcznik Oslo, zgodnie z którą przez innowację należy rozumieć nowy lub ulepszony produkt lub proces (lub ich połączenie), który różni się znacząco od poprzednich produktów lub procesów danej jednostki i który został udostępniony potencjalnym użytkownikom (produkt) lub wprowadzony do użytku przez jednostkę (proces).</w:t>
            </w:r>
          </w:p>
          <w:p w14:paraId="6B575C8C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Zgodnie z ww. definicją:</w:t>
            </w:r>
          </w:p>
          <w:p w14:paraId="1186595A" w14:textId="2B9D485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produktowa - to nowy lub ulepszony wyrób lub usługa, które różnią się znacząco od dotychczasowych wyrobów lub usług przedsiębiorstwa i które zostały wprowadzone na rynek.</w:t>
            </w:r>
          </w:p>
          <w:p w14:paraId="6A1E9A26" w14:textId="7F4A9C19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w procesie biznesowym - to nowy lub ulepszony proces biznesowy dla jednej lub wielu funkcji biznesowych, który różni się znacząco od dotychczasowych procesów biznesowych przedsiębiorstwa i który został wprowadzony do użytku przez przedsiębiorstwo.</w:t>
            </w:r>
          </w:p>
          <w:p w14:paraId="330C9672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 kolei produkcja wyrobów lub usług stanowi podstawową funkcję przedsiębiorstwa. Działalność polegająca na przekształcaniu nakładów pracy i środków w wyroby lub usługi, w tym prace inżynieryjne i związane z nimi testy techniczne, analizy i certyfikacja jako wsparcie produkcji.</w:t>
            </w:r>
          </w:p>
          <w:p w14:paraId="04F469CF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Ponadto, innowacjami nie są przede wszystkim:</w:t>
            </w:r>
          </w:p>
          <w:p w14:paraId="2F8BEE3C" w14:textId="5609D2B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rutynowe czynności;</w:t>
            </w:r>
          </w:p>
          <w:p w14:paraId="263F4AF1" w14:textId="0EEA8878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naprawianie błędów, na przykład w konstrukcji;</w:t>
            </w:r>
          </w:p>
          <w:p w14:paraId="652ABC8A" w14:textId="3F3A1B02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serwisowanie, badanie jakości, utrzymywanie produktów, usług i procesów, jak również aktualizowanie wersji, na przykład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programie komputerowym;</w:t>
            </w:r>
          </w:p>
          <w:p w14:paraId="338FF4CB" w14:textId="12907056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proste usprawnienia i proste zmiany, na przykład koloru;</w:t>
            </w:r>
          </w:p>
          <w:p w14:paraId="34AED07C" w14:textId="08A711C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sezonowe zmiany i dostosowania, na przykład nowe kolekcje ubiorów;</w:t>
            </w:r>
          </w:p>
          <w:p w14:paraId="3180FC7D" w14:textId="3C7BA07F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działalność artystyczna, o ile nie jest związana z wzornictwem przemysłowym;</w:t>
            </w:r>
          </w:p>
          <w:p w14:paraId="3C632047" w14:textId="4FF6ACA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przystosowywanie, konfigurację do potrzeb klienta, na przykład system informatyczny z konfigurowanymi modułami, o ile nie wnosi to znaczących zmian, wobec standardowej oferty dla innych klientów;</w:t>
            </w:r>
          </w:p>
          <w:p w14:paraId="41DA079A" w14:textId="766387EA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produkty, które zostały zakupione gotowe, nawet jeśli są innowacyjne, a przedsiębiorca tylko je dalej sprzedaje;</w:t>
            </w:r>
          </w:p>
          <w:p w14:paraId="6462878B" w14:textId="42158114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zmiana strategii cenowej, czy na przykład w plasowaniu produktu, w oparciu o metody, które były wcześniej stosowane przez firmę.</w:t>
            </w:r>
          </w:p>
          <w:p w14:paraId="32F6CF37" w14:textId="3F85137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Pod uwagę nie są brane innowacje, których efektem są wyłącznie rozwiązania stanowiące innowację w procesie biznesowym, pełniące funkcje wspierające, takie jak dystrybucja i  logistyka, marketing, sprzedaż i usługi posprzedażowe, usługi w zakresie technologii informacyjno-komunikacyjnych dla przedsiębiorstwa, funkcje administracyjne i zarządcze, usługi inżynieryjne i pokrewne usługi techniczne na rzecz przedsiębiorstwa oraz rozwój produktów i procesów biznesowych. Mogą one stanowić wartość dodaną projektu, lecz nie jedyny jego rezultat.</w:t>
            </w:r>
          </w:p>
          <w:p w14:paraId="41784427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0 pkt – projekt nie jest innowacyjny; </w:t>
            </w:r>
          </w:p>
          <w:p w14:paraId="3DDB5779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1 pkt – innowacja co najmniej na poziomie przedsiębiorstwa;</w:t>
            </w:r>
          </w:p>
          <w:p w14:paraId="22B7857D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2 pkt – innowacja co najmniej na poziomie regionu (województwo opolskie).</w:t>
            </w:r>
          </w:p>
          <w:p w14:paraId="7588DFA7" w14:textId="3D84081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i załączników i/lub wyjaśnień udzielonych przez Wnioskodawcę.  Oceniane mogą być również inne dokumenty potwierdzające innowacyjność projektu, w tym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badanie stanu techniki, czy opinia wystawiona przez polską lub analogiczną zagraniczną jednostkę naukową.</w:t>
            </w:r>
          </w:p>
        </w:tc>
        <w:tc>
          <w:tcPr>
            <w:tcW w:w="1560" w:type="dxa"/>
            <w:vAlign w:val="center"/>
          </w:tcPr>
          <w:p w14:paraId="1EF9024E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51DA2EE5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3A45E8C0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11DF410E" w14:textId="2E1755ED" w:rsidTr="007E6722">
        <w:tc>
          <w:tcPr>
            <w:tcW w:w="421" w:type="dxa"/>
            <w:noWrap/>
            <w:vAlign w:val="center"/>
          </w:tcPr>
          <w:p w14:paraId="1921BEE5" w14:textId="77777777" w:rsidR="007E6722" w:rsidRDefault="007E6722" w:rsidP="00923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8" w:type="dxa"/>
            <w:vAlign w:val="center"/>
          </w:tcPr>
          <w:p w14:paraId="3EA525A4" w14:textId="77777777" w:rsidR="007E6722" w:rsidRPr="00C8301F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Wkład własny wyższy od minimalnego</w:t>
            </w:r>
          </w:p>
        </w:tc>
        <w:tc>
          <w:tcPr>
            <w:tcW w:w="8223" w:type="dxa"/>
            <w:vAlign w:val="center"/>
          </w:tcPr>
          <w:p w14:paraId="3DE414C6" w14:textId="49481603" w:rsidR="007E6722" w:rsidRPr="008A00F5" w:rsidRDefault="007E6722" w:rsidP="006A22F8">
            <w:pPr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Wkład własny wyższy od minimalnego o:</w:t>
            </w:r>
          </w:p>
          <w:p w14:paraId="71FDD1EF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≤5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 0  pkt;</w:t>
            </w:r>
          </w:p>
          <w:p w14:paraId="316BAE25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&gt;5 ≤ 10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- 1 pkt;</w:t>
            </w:r>
          </w:p>
          <w:p w14:paraId="0B047FB6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&gt;10 ≤ 15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- 2 pkt;</w:t>
            </w:r>
          </w:p>
          <w:p w14:paraId="46A41A6C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&gt;15 ≤ 20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- 3 pkt;</w:t>
            </w:r>
          </w:p>
          <w:p w14:paraId="45393963" w14:textId="6D81472E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 20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- 4 pkt.</w:t>
            </w:r>
          </w:p>
          <w:p w14:paraId="32986918" w14:textId="1394A49A" w:rsidR="007E6722" w:rsidRPr="006A22F8" w:rsidRDefault="007E6722" w:rsidP="006A22F8">
            <w:pPr>
              <w:snapToGrid w:val="0"/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– punkt procentowy</w:t>
            </w:r>
          </w:p>
          <w:p w14:paraId="1C047970" w14:textId="77777777" w:rsidR="007E6722" w:rsidRPr="00C8301F" w:rsidRDefault="007E6722" w:rsidP="006A22F8">
            <w:pPr>
              <w:snapToGrid w:val="0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72B38E9B" w14:textId="77777777" w:rsidR="007E6722" w:rsidRPr="00261139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01F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D72D71A" w14:textId="77777777" w:rsidR="007E6722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69B2F7F4" w14:textId="77777777" w:rsidR="007E6722" w:rsidRPr="00C8301F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– 4 pkt</w:t>
            </w:r>
          </w:p>
        </w:tc>
      </w:tr>
      <w:tr w:rsidR="00BC49D2" w:rsidRPr="00502CFF" w14:paraId="05B03ACF" w14:textId="77777777" w:rsidTr="00643FBA">
        <w:tc>
          <w:tcPr>
            <w:tcW w:w="421" w:type="dxa"/>
            <w:noWrap/>
            <w:vAlign w:val="center"/>
          </w:tcPr>
          <w:p w14:paraId="5B680378" w14:textId="5B41C368" w:rsidR="00BC49D2" w:rsidRPr="004A7BB2" w:rsidRDefault="00BC49D2" w:rsidP="00BC49D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7BB2">
              <w:rPr>
                <w:rFonts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258" w:type="dxa"/>
            <w:vAlign w:val="center"/>
          </w:tcPr>
          <w:p w14:paraId="405A07A2" w14:textId="615D6776" w:rsidR="00BC49D2" w:rsidRPr="004A7BB2" w:rsidRDefault="00BC49D2" w:rsidP="00BC49D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Projekt przyczynia się do zwiększenia w przedsiębiorstwie automatyzacji i/lub cyfryzacji</w:t>
            </w:r>
          </w:p>
        </w:tc>
        <w:tc>
          <w:tcPr>
            <w:tcW w:w="8223" w:type="dxa"/>
          </w:tcPr>
          <w:p w14:paraId="407C59A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 projekt przyczynia się do zwiększenia w przedsiębiorstwie automatyzacji i/lub cyfryzacji.</w:t>
            </w:r>
          </w:p>
          <w:p w14:paraId="7D87F8F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0 pkt –   projekt nie przyczynia się do zwiększenia w przedsiębiorstwie automatyzacji i/lub cyfryzacji</w:t>
            </w:r>
          </w:p>
          <w:p w14:paraId="6466F664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2 pkt -  projekt przyczynia się do  zwiększenia w przedsiębiorstwie automatyzacji i/lub cyfryzacji</w:t>
            </w:r>
          </w:p>
          <w:p w14:paraId="5D075270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 xml:space="preserve">Automatyzacja oznacza stosowanie urządzeń do zbierania i przetwarzania informacji, przejmujących pewne działania poznawcze, intelektualne i decyzyjne człowieka, wykonywane dotąd przez niego w trakcie użytkowania obiektu lub w trakcie prac twórczych (np. projektowania, konstruowania, uczenia). Automatyzacja może dotyczyć zarówno procesu produkcyjnego, jak i </w:t>
            </w:r>
            <w:r w:rsidRPr="004A7BB2">
              <w:rPr>
                <w:sz w:val="24"/>
                <w:szCs w:val="24"/>
              </w:rPr>
              <w:lastRenderedPageBreak/>
              <w:t xml:space="preserve">automatyzacji procesów biznesowych. Automatyzacja produkcji jest wykorzystaniem potencjału maszyn w trakcie procesów wytwórczych i wdrożenie odpowiednio wybranych rozwiązań na danej linii produkcyjnej. Automatyzacja i robotyzacja procesów produkcyjnych zmniejsza udział człowieka, jednocześnie zwiększając wydajność działań. Automatyzacja procesów biznesowych to wykorzystanie systemów informatycznych do zastąpienia i zarządzania bieżącymi, ręcznymi procesami w działalności przedsiębiorstwa. </w:t>
            </w:r>
          </w:p>
          <w:p w14:paraId="7CF2730B" w14:textId="77777777" w:rsidR="00BC49D2" w:rsidRPr="004A7BB2" w:rsidRDefault="00BC49D2" w:rsidP="00BC49D2">
            <w:pPr>
              <w:spacing w:after="120"/>
              <w:ind w:left="28"/>
              <w:rPr>
                <w:rFonts w:cs="Calibri"/>
                <w:sz w:val="24"/>
                <w:szCs w:val="24"/>
              </w:rPr>
            </w:pPr>
            <w:r w:rsidRPr="004A7BB2">
              <w:rPr>
                <w:rFonts w:cs="Calibri"/>
                <w:sz w:val="24"/>
                <w:szCs w:val="24"/>
              </w:rPr>
              <w:t xml:space="preserve">Premiowane będą również rozwiązania z zakresu inteligentnej automatyzacji, tj. połączenia automatyzacji ze sztuczną inteligencją (AI), które polegają na wykorzystywaniu </w:t>
            </w:r>
            <w:r w:rsidRPr="004A7BB2">
              <w:rPr>
                <w:rFonts w:cs="Calibri"/>
                <w:color w:val="202124"/>
                <w:sz w:val="24"/>
                <w:szCs w:val="24"/>
              </w:rPr>
              <w:t xml:space="preserve">zaawansowanych algorytmów, dzięki czemu umożliwiają systemom podejmowanie autonomicznych decyzji, zwiększając efektywność poprzez zmniejszenie potrzeby interwencji człowieka, jak </w:t>
            </w:r>
            <w:r w:rsidRPr="004A7BB2">
              <w:rPr>
                <w:rFonts w:cs="Calibri"/>
                <w:sz w:val="24"/>
                <w:szCs w:val="24"/>
              </w:rPr>
              <w:t xml:space="preserve">np. wirtualni asystenci i </w:t>
            </w:r>
            <w:proofErr w:type="spellStart"/>
            <w:r w:rsidRPr="004A7BB2">
              <w:rPr>
                <w:rFonts w:cs="Calibri"/>
                <w:sz w:val="24"/>
                <w:szCs w:val="24"/>
              </w:rPr>
              <w:t>chatboty</w:t>
            </w:r>
            <w:proofErr w:type="spellEnd"/>
            <w:r w:rsidRPr="004A7BB2">
              <w:rPr>
                <w:rFonts w:cs="Calibri"/>
                <w:sz w:val="24"/>
                <w:szCs w:val="24"/>
              </w:rPr>
              <w:t>, automatyzacja i optymalizacja w sprzedaży, zaawansowana analiza danych przez całą dobę, itp.</w:t>
            </w:r>
          </w:p>
          <w:p w14:paraId="7C345D76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Cyfryzacja oznacza proces polegający na stopniowym wprowadzania technologii cyfrowej do otaczającego środowiska. Za cyfryzację uważa się rozpowszechnianie, popularyzowanie i wprowadzanie szeroko pojętej infrastruktury elektronicznej. Transformacja cyfrowa w przedsiębiorstwie to wykorzystanie technologii w celu przekształcenia procesów analogowych w cyfrowe.</w:t>
            </w:r>
          </w:p>
          <w:p w14:paraId="58E3A10D" w14:textId="7FF26A6E" w:rsidR="00BC49D2" w:rsidRPr="004A7BB2" w:rsidRDefault="00BC49D2" w:rsidP="00BC49D2">
            <w:pPr>
              <w:spacing w:after="120" w:line="24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eastAsia="pl-PL"/>
              </w:rPr>
            </w:pPr>
            <w:r w:rsidRPr="004A7BB2">
              <w:rPr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11E9F3D4" w14:textId="77777777" w:rsidR="00BC49D2" w:rsidRPr="004A7BB2" w:rsidRDefault="00BC49D2" w:rsidP="00BC49D2">
            <w:pPr>
              <w:jc w:val="center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  <w:p w14:paraId="2FA64957" w14:textId="052205D9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9584B60" w14:textId="2895E8D0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B506143" w14:textId="2077EC45" w:rsidR="00BC49D2" w:rsidRPr="004A7BB2" w:rsidRDefault="00BC49D2" w:rsidP="00BC49D2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  <w:tr w:rsidR="00BC49D2" w:rsidRPr="00502CFF" w14:paraId="29B0F7E0" w14:textId="77777777" w:rsidTr="00EE10CE">
        <w:tc>
          <w:tcPr>
            <w:tcW w:w="421" w:type="dxa"/>
            <w:noWrap/>
            <w:vAlign w:val="center"/>
          </w:tcPr>
          <w:p w14:paraId="65B1ED09" w14:textId="7D37A7EF" w:rsidR="00BC49D2" w:rsidRPr="004A7BB2" w:rsidRDefault="00BC49D2" w:rsidP="00BC49D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7BB2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58" w:type="dxa"/>
            <w:vAlign w:val="center"/>
          </w:tcPr>
          <w:p w14:paraId="75DF5BB1" w14:textId="3C3CD9BD" w:rsidR="00BC49D2" w:rsidRPr="004A7BB2" w:rsidRDefault="00BC49D2" w:rsidP="00BC49D2">
            <w:pPr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Projekt przyczynia się do działań ograniczających presje na środowisko</w:t>
            </w:r>
          </w:p>
        </w:tc>
        <w:tc>
          <w:tcPr>
            <w:tcW w:w="8223" w:type="dxa"/>
            <w:vAlign w:val="center"/>
          </w:tcPr>
          <w:p w14:paraId="3142A395" w14:textId="77777777" w:rsidR="00BC49D2" w:rsidRPr="004A7BB2" w:rsidRDefault="00BC49D2" w:rsidP="00BC49D2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 projekt przyczynia się do działań ograniczających presje na środowisko.</w:t>
            </w:r>
          </w:p>
          <w:p w14:paraId="648A60D8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0 pkt –  projekt nie przyczynia się do  działań ograniczających presje na środowisko.</w:t>
            </w:r>
          </w:p>
          <w:p w14:paraId="2BB236E1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2 pkt - projekt przyczynia się do  działań ograniczających presje na środowisko.</w:t>
            </w:r>
          </w:p>
          <w:p w14:paraId="6EF02B9B" w14:textId="77777777" w:rsidR="00BC49D2" w:rsidRPr="004A7BB2" w:rsidRDefault="00BC49D2" w:rsidP="00BC49D2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Działania przyczyniające się do ograniczenia presji na środowisko to:</w:t>
            </w:r>
          </w:p>
          <w:p w14:paraId="0EC5B94C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zastosowanie rozwiązań z zakresu gospodarki obiegu zamkniętego (GOZ) zmniejszające ilość odpadów i zwiększające ich segregację oraz recykling,</w:t>
            </w:r>
          </w:p>
          <w:p w14:paraId="52623FF2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zastosowanie odnawialnych źródeł energii do pozyskiwania energii elektrycznej lub energii cieplnej niezbędnej do prowadzenia działalności przez Wnioskodawcę,</w:t>
            </w:r>
          </w:p>
          <w:p w14:paraId="1E3C0E9E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energochłonności prowadzonej działalności przez Wnioskodawcę w stosunku do stanu przed realizacją projektu,</w:t>
            </w:r>
          </w:p>
          <w:p w14:paraId="010985DD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emisji zanieczyszczeń́ do atmosfery w wyniku prowadzonej działalności przemysłowej lub usługowej w stosunku do stanu przed realizacją projektu,</w:t>
            </w:r>
          </w:p>
          <w:p w14:paraId="6561272E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poprawa efektywności energetycznej budynków / budowli niezbędnych do realizacji działalności przez Wnioskodawcę,</w:t>
            </w:r>
          </w:p>
          <w:p w14:paraId="5B28FCE2" w14:textId="77777777" w:rsidR="00BC49D2" w:rsidRPr="004A7BB2" w:rsidRDefault="00BC49D2" w:rsidP="00BC49D2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uzyskanie dla produktów przedsiębiorstwa deklaracji środowiskowych produktu (EDP).</w:t>
            </w:r>
          </w:p>
          <w:p w14:paraId="14CD84F2" w14:textId="4E7A41FE" w:rsidR="00BC49D2" w:rsidRPr="004A7BB2" w:rsidRDefault="00BC49D2" w:rsidP="00BC49D2">
            <w:pPr>
              <w:spacing w:after="120"/>
              <w:ind w:left="28"/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 i/lub informacji dotyczących projektu pozyskanych w innych sposób.</w:t>
            </w:r>
          </w:p>
        </w:tc>
        <w:tc>
          <w:tcPr>
            <w:tcW w:w="1560" w:type="dxa"/>
            <w:vAlign w:val="center"/>
          </w:tcPr>
          <w:p w14:paraId="2B720444" w14:textId="6AA510F0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501A8210" w14:textId="45C5DDDC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3FC8617" w14:textId="0510F6C5" w:rsidR="00BC49D2" w:rsidRPr="004A7BB2" w:rsidRDefault="00BC49D2" w:rsidP="00BC49D2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</w:tbl>
    <w:p w14:paraId="0BC5AC69" w14:textId="77777777" w:rsidR="006E73CC" w:rsidRDefault="006E73CC"/>
    <w:sectPr w:rsidR="006E73CC" w:rsidSect="00912BFA">
      <w:footerReference w:type="default" r:id="rId9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68DB" w14:textId="77777777" w:rsidR="00842624" w:rsidRDefault="00842624" w:rsidP="001A07DF">
      <w:pPr>
        <w:spacing w:after="0" w:line="240" w:lineRule="auto"/>
      </w:pPr>
      <w:r>
        <w:separator/>
      </w:r>
    </w:p>
  </w:endnote>
  <w:endnote w:type="continuationSeparator" w:id="0">
    <w:p w14:paraId="3DA8F485" w14:textId="77777777" w:rsidR="00842624" w:rsidRDefault="00842624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322853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B2">
          <w:rPr>
            <w:noProof/>
          </w:rPr>
          <w:t>11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BAA9" w14:textId="77777777" w:rsidR="00842624" w:rsidRDefault="00842624" w:rsidP="001A07DF">
      <w:pPr>
        <w:spacing w:after="0" w:line="240" w:lineRule="auto"/>
      </w:pPr>
      <w:r>
        <w:separator/>
      </w:r>
    </w:p>
  </w:footnote>
  <w:footnote w:type="continuationSeparator" w:id="0">
    <w:p w14:paraId="2159E8F5" w14:textId="77777777" w:rsidR="00842624" w:rsidRDefault="00842624" w:rsidP="001A07DF">
      <w:pPr>
        <w:spacing w:after="0" w:line="240" w:lineRule="auto"/>
      </w:pPr>
      <w:r>
        <w:continuationSeparator/>
      </w:r>
    </w:p>
  </w:footnote>
  <w:footnote w:id="1">
    <w:p w14:paraId="1F3F9FC7" w14:textId="77777777" w:rsidR="000E5C87" w:rsidRPr="0004295C" w:rsidRDefault="000E5C87" w:rsidP="000E5C87">
      <w:pPr>
        <w:pStyle w:val="Tekstprzypisudolnego"/>
        <w:rPr>
          <w:rFonts w:asciiTheme="minorHAnsi" w:hAnsiTheme="minorHAnsi" w:cstheme="minorHAnsi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32"/>
        </w:rPr>
        <w:footnoteRef/>
      </w:r>
      <w:r w:rsidRPr="0004295C">
        <w:rPr>
          <w:rFonts w:asciiTheme="minorHAnsi" w:hAnsiTheme="minorHAnsi" w:cstheme="minorHAnsi"/>
          <w:sz w:val="32"/>
          <w:szCs w:val="32"/>
        </w:rPr>
        <w:t xml:space="preserve"> </w:t>
      </w:r>
      <w:r w:rsidRPr="0004295C">
        <w:rPr>
          <w:rFonts w:asciiTheme="minorHAnsi" w:hAnsiTheme="minorHAnsi" w:cstheme="minorHAnsi"/>
          <w:i/>
          <w:iCs/>
          <w:sz w:val="24"/>
          <w:szCs w:val="24"/>
        </w:rPr>
        <w:t>Rozporządzenie Rady Ministrów z dnia 16 września 2024 r. w sprawie wykazu gmin, w których są stosowane rozwiązania związane z usuwaniem skutków powodzi z września 2024 r., oraz rozwiązań stosowanych na ich terenie (</w:t>
      </w:r>
      <w:proofErr w:type="spellStart"/>
      <w:r w:rsidRPr="0004295C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04295C">
        <w:rPr>
          <w:rFonts w:asciiTheme="minorHAnsi" w:hAnsiTheme="minorHAnsi" w:cstheme="minorHAnsi"/>
          <w:i/>
          <w:iCs/>
          <w:sz w:val="24"/>
          <w:szCs w:val="24"/>
        </w:rPr>
        <w:t>. Dz.U. poz. 1859).</w:t>
      </w:r>
    </w:p>
  </w:footnote>
  <w:footnote w:id="2">
    <w:p w14:paraId="0DA40CE7" w14:textId="77777777" w:rsidR="000E5C87" w:rsidRPr="0004295C" w:rsidRDefault="000E5C87" w:rsidP="000E5C87">
      <w:pPr>
        <w:pStyle w:val="Tekstprzypisudolnego"/>
        <w:rPr>
          <w:rFonts w:asciiTheme="minorHAnsi" w:hAnsiTheme="minorHAnsi" w:cstheme="minorHAnsi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32"/>
        </w:rPr>
        <w:footnoteRef/>
      </w:r>
      <w:r w:rsidRPr="0004295C">
        <w:rPr>
          <w:rFonts w:asciiTheme="minorHAnsi" w:hAnsiTheme="minorHAnsi" w:cstheme="minorHAnsi"/>
          <w:sz w:val="32"/>
          <w:szCs w:val="32"/>
        </w:rPr>
        <w:t xml:space="preserve"> </w:t>
      </w:r>
      <w:r w:rsidRPr="0004295C">
        <w:rPr>
          <w:rFonts w:asciiTheme="minorHAnsi" w:hAnsiTheme="minorHAnsi" w:cstheme="minorHAnsi"/>
          <w:i/>
          <w:iCs/>
          <w:sz w:val="24"/>
          <w:szCs w:val="24"/>
        </w:rPr>
        <w:t>Rozporządzenie Rady Ministrów z dnia 16 września 2024 r. w sprawie wykazu gmin, w których są stosowane rozwiązania związane z usuwaniem skutków powodzi z września 2024 r., oraz rozwiązań stosowanych na ich terenie (</w:t>
      </w:r>
      <w:proofErr w:type="spellStart"/>
      <w:r w:rsidRPr="0004295C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04295C">
        <w:rPr>
          <w:rFonts w:asciiTheme="minorHAnsi" w:hAnsiTheme="minorHAnsi" w:cstheme="minorHAnsi"/>
          <w:i/>
          <w:iCs/>
          <w:sz w:val="24"/>
          <w:szCs w:val="24"/>
        </w:rPr>
        <w:t>. Dz.U. poz. 1859).</w:t>
      </w:r>
    </w:p>
  </w:footnote>
  <w:footnote w:id="3">
    <w:p w14:paraId="05C73505" w14:textId="77777777" w:rsidR="00A76D0F" w:rsidRPr="0004295C" w:rsidRDefault="00A76D0F" w:rsidP="00A76D0F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4295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05200377"/>
      <w:r w:rsidRPr="0004295C">
        <w:rPr>
          <w:rFonts w:asciiTheme="minorHAnsi" w:hAnsiTheme="minorHAnsi" w:cstheme="minorHAnsi"/>
          <w:i/>
          <w:iCs/>
          <w:sz w:val="24"/>
          <w:szCs w:val="24"/>
        </w:rPr>
        <w:t>Rozporządzenie Rady Ministrów z dnia 16 września 2024 r. w sprawie wykazu gmin, w których są stosowane rozwiązania związane z usuwaniem skutków powodzi z września 2024 r., oraz rozwiązań stosowanych na ich terenie (</w:t>
      </w:r>
      <w:proofErr w:type="spellStart"/>
      <w:r w:rsidRPr="0004295C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04295C">
        <w:rPr>
          <w:rFonts w:asciiTheme="minorHAnsi" w:hAnsiTheme="minorHAnsi" w:cstheme="minorHAnsi"/>
          <w:i/>
          <w:iCs/>
          <w:sz w:val="24"/>
          <w:szCs w:val="24"/>
        </w:rPr>
        <w:t>. Dz.U. poz. 1859).</w:t>
      </w:r>
      <w:bookmarkEnd w:id="0"/>
    </w:p>
  </w:footnote>
  <w:footnote w:id="4">
    <w:p w14:paraId="73552237" w14:textId="411FBBD6" w:rsidR="000E5C87" w:rsidRPr="0004295C" w:rsidRDefault="000E5C87">
      <w:pPr>
        <w:pStyle w:val="Tekstprzypisudolnego"/>
        <w:rPr>
          <w:rFonts w:asciiTheme="minorHAnsi" w:hAnsiTheme="minorHAnsi" w:cstheme="minorHAnsi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32"/>
        </w:rPr>
        <w:footnoteRef/>
      </w:r>
      <w:r w:rsidRPr="0004295C">
        <w:rPr>
          <w:rFonts w:asciiTheme="minorHAnsi" w:hAnsiTheme="minorHAnsi" w:cstheme="minorHAnsi"/>
          <w:sz w:val="32"/>
          <w:szCs w:val="32"/>
        </w:rPr>
        <w:t xml:space="preserve"> </w:t>
      </w:r>
      <w:r w:rsidRPr="0004295C">
        <w:rPr>
          <w:rFonts w:asciiTheme="minorHAnsi" w:hAnsiTheme="minorHAnsi" w:cstheme="minorHAnsi"/>
          <w:i/>
          <w:iCs/>
          <w:sz w:val="24"/>
          <w:szCs w:val="24"/>
        </w:rPr>
        <w:t>Rozporządzenie Rady Ministrów z dnia 16 września 2024 r. w sprawie wykazu gmin, w których są stosowane rozwiązania związane z usuwaniem skutków powodzi z września 2024 r., oraz rozwiązań stosowanych na ich terenie (</w:t>
      </w:r>
      <w:proofErr w:type="spellStart"/>
      <w:r w:rsidRPr="0004295C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04295C">
        <w:rPr>
          <w:rFonts w:asciiTheme="minorHAnsi" w:hAnsiTheme="minorHAnsi" w:cstheme="minorHAnsi"/>
          <w:i/>
          <w:iCs/>
          <w:sz w:val="24"/>
          <w:szCs w:val="24"/>
        </w:rPr>
        <w:t>. Dz.U. poz. 1859).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F11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0F4"/>
    <w:multiLevelType w:val="hybridMultilevel"/>
    <w:tmpl w:val="953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61978"/>
    <w:multiLevelType w:val="hybridMultilevel"/>
    <w:tmpl w:val="75AA7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606749"/>
    <w:multiLevelType w:val="hybridMultilevel"/>
    <w:tmpl w:val="C3E8484E"/>
    <w:lvl w:ilvl="0" w:tplc="C3BA2A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17020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9128">
    <w:abstractNumId w:val="13"/>
  </w:num>
  <w:num w:numId="2" w16cid:durableId="711543019">
    <w:abstractNumId w:val="9"/>
  </w:num>
  <w:num w:numId="3" w16cid:durableId="1032148115">
    <w:abstractNumId w:val="7"/>
  </w:num>
  <w:num w:numId="4" w16cid:durableId="2072147156">
    <w:abstractNumId w:val="2"/>
  </w:num>
  <w:num w:numId="5" w16cid:durableId="959453563">
    <w:abstractNumId w:val="1"/>
  </w:num>
  <w:num w:numId="6" w16cid:durableId="1227302254">
    <w:abstractNumId w:val="12"/>
  </w:num>
  <w:num w:numId="7" w16cid:durableId="724066479">
    <w:abstractNumId w:val="24"/>
  </w:num>
  <w:num w:numId="8" w16cid:durableId="725294865">
    <w:abstractNumId w:val="25"/>
  </w:num>
  <w:num w:numId="9" w16cid:durableId="1248805381">
    <w:abstractNumId w:val="16"/>
  </w:num>
  <w:num w:numId="10" w16cid:durableId="496578860">
    <w:abstractNumId w:val="10"/>
  </w:num>
  <w:num w:numId="11" w16cid:durableId="1888755740">
    <w:abstractNumId w:val="17"/>
  </w:num>
  <w:num w:numId="12" w16cid:durableId="846360640">
    <w:abstractNumId w:val="11"/>
  </w:num>
  <w:num w:numId="13" w16cid:durableId="1333794098">
    <w:abstractNumId w:val="8"/>
  </w:num>
  <w:num w:numId="14" w16cid:durableId="34549610">
    <w:abstractNumId w:val="18"/>
  </w:num>
  <w:num w:numId="15" w16cid:durableId="681519232">
    <w:abstractNumId w:val="20"/>
  </w:num>
  <w:num w:numId="16" w16cid:durableId="642127718">
    <w:abstractNumId w:val="0"/>
  </w:num>
  <w:num w:numId="17" w16cid:durableId="1019813075">
    <w:abstractNumId w:val="6"/>
  </w:num>
  <w:num w:numId="18" w16cid:durableId="1273441780">
    <w:abstractNumId w:val="22"/>
  </w:num>
  <w:num w:numId="19" w16cid:durableId="817576298">
    <w:abstractNumId w:val="3"/>
  </w:num>
  <w:num w:numId="20" w16cid:durableId="179662058">
    <w:abstractNumId w:val="19"/>
  </w:num>
  <w:num w:numId="21" w16cid:durableId="194973571">
    <w:abstractNumId w:val="15"/>
  </w:num>
  <w:num w:numId="22" w16cid:durableId="1762489325">
    <w:abstractNumId w:val="4"/>
  </w:num>
  <w:num w:numId="23" w16cid:durableId="1464730673">
    <w:abstractNumId w:val="23"/>
  </w:num>
  <w:num w:numId="24" w16cid:durableId="1953322477">
    <w:abstractNumId w:val="5"/>
  </w:num>
  <w:num w:numId="25" w16cid:durableId="1147014908">
    <w:abstractNumId w:val="21"/>
  </w:num>
  <w:num w:numId="26" w16cid:durableId="1226799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0179"/>
    <w:rsid w:val="00015440"/>
    <w:rsid w:val="000167EE"/>
    <w:rsid w:val="00022A9E"/>
    <w:rsid w:val="0002685C"/>
    <w:rsid w:val="000279E5"/>
    <w:rsid w:val="000349DD"/>
    <w:rsid w:val="0004295C"/>
    <w:rsid w:val="00054930"/>
    <w:rsid w:val="00061230"/>
    <w:rsid w:val="0009022D"/>
    <w:rsid w:val="00090BF6"/>
    <w:rsid w:val="000A3C38"/>
    <w:rsid w:val="000C3110"/>
    <w:rsid w:val="000D047E"/>
    <w:rsid w:val="000D5197"/>
    <w:rsid w:val="000D59FE"/>
    <w:rsid w:val="000E5C87"/>
    <w:rsid w:val="000E6B18"/>
    <w:rsid w:val="00125CA8"/>
    <w:rsid w:val="0013182A"/>
    <w:rsid w:val="0013463D"/>
    <w:rsid w:val="001465A3"/>
    <w:rsid w:val="0016686A"/>
    <w:rsid w:val="00181F16"/>
    <w:rsid w:val="001A07DF"/>
    <w:rsid w:val="001C1B88"/>
    <w:rsid w:val="001C312B"/>
    <w:rsid w:val="001F0E8E"/>
    <w:rsid w:val="001F7547"/>
    <w:rsid w:val="00203D3D"/>
    <w:rsid w:val="0021023B"/>
    <w:rsid w:val="002248D2"/>
    <w:rsid w:val="00226B7A"/>
    <w:rsid w:val="0022774A"/>
    <w:rsid w:val="0023169B"/>
    <w:rsid w:val="00250C58"/>
    <w:rsid w:val="00271368"/>
    <w:rsid w:val="00285A8C"/>
    <w:rsid w:val="00295A98"/>
    <w:rsid w:val="00295F5B"/>
    <w:rsid w:val="00297AB2"/>
    <w:rsid w:val="002A3EFF"/>
    <w:rsid w:val="002B3DF7"/>
    <w:rsid w:val="002B4AA8"/>
    <w:rsid w:val="002C26F6"/>
    <w:rsid w:val="002D7FC0"/>
    <w:rsid w:val="002E1AB5"/>
    <w:rsid w:val="003161AF"/>
    <w:rsid w:val="003228EA"/>
    <w:rsid w:val="00323345"/>
    <w:rsid w:val="003246C0"/>
    <w:rsid w:val="00326E2F"/>
    <w:rsid w:val="0034548C"/>
    <w:rsid w:val="003514CF"/>
    <w:rsid w:val="00364BDF"/>
    <w:rsid w:val="003724BB"/>
    <w:rsid w:val="00385B66"/>
    <w:rsid w:val="0039352F"/>
    <w:rsid w:val="003B3147"/>
    <w:rsid w:val="00432098"/>
    <w:rsid w:val="00432804"/>
    <w:rsid w:val="0043569F"/>
    <w:rsid w:val="00435FD8"/>
    <w:rsid w:val="00445899"/>
    <w:rsid w:val="00450368"/>
    <w:rsid w:val="004609ED"/>
    <w:rsid w:val="0046626D"/>
    <w:rsid w:val="00467505"/>
    <w:rsid w:val="0047170E"/>
    <w:rsid w:val="00474959"/>
    <w:rsid w:val="00491E55"/>
    <w:rsid w:val="004A403E"/>
    <w:rsid w:val="004A7BB2"/>
    <w:rsid w:val="004B43F0"/>
    <w:rsid w:val="004D45DF"/>
    <w:rsid w:val="004F3AC2"/>
    <w:rsid w:val="005007BA"/>
    <w:rsid w:val="00502CFF"/>
    <w:rsid w:val="00515CE9"/>
    <w:rsid w:val="0051701B"/>
    <w:rsid w:val="00517FD7"/>
    <w:rsid w:val="00522A83"/>
    <w:rsid w:val="00526E68"/>
    <w:rsid w:val="00534A17"/>
    <w:rsid w:val="005464CC"/>
    <w:rsid w:val="00570C3B"/>
    <w:rsid w:val="00571AAF"/>
    <w:rsid w:val="0058424F"/>
    <w:rsid w:val="00587472"/>
    <w:rsid w:val="00595A99"/>
    <w:rsid w:val="005A4F35"/>
    <w:rsid w:val="005B4ADA"/>
    <w:rsid w:val="005B730B"/>
    <w:rsid w:val="005C3E72"/>
    <w:rsid w:val="005C48D4"/>
    <w:rsid w:val="005D2592"/>
    <w:rsid w:val="005E0748"/>
    <w:rsid w:val="005E26F0"/>
    <w:rsid w:val="006351B1"/>
    <w:rsid w:val="00636590"/>
    <w:rsid w:val="00662610"/>
    <w:rsid w:val="00663588"/>
    <w:rsid w:val="0068586D"/>
    <w:rsid w:val="006935F8"/>
    <w:rsid w:val="006A112A"/>
    <w:rsid w:val="006A22F8"/>
    <w:rsid w:val="006B4EE5"/>
    <w:rsid w:val="006C2979"/>
    <w:rsid w:val="006E73CC"/>
    <w:rsid w:val="006F5C9E"/>
    <w:rsid w:val="0070241F"/>
    <w:rsid w:val="00705812"/>
    <w:rsid w:val="00711BBD"/>
    <w:rsid w:val="00731EAB"/>
    <w:rsid w:val="00735FC6"/>
    <w:rsid w:val="00736943"/>
    <w:rsid w:val="00745059"/>
    <w:rsid w:val="00754A5B"/>
    <w:rsid w:val="00777BAC"/>
    <w:rsid w:val="007807A0"/>
    <w:rsid w:val="0078417B"/>
    <w:rsid w:val="007928B2"/>
    <w:rsid w:val="00796D16"/>
    <w:rsid w:val="007A1D07"/>
    <w:rsid w:val="007A5F52"/>
    <w:rsid w:val="007B6C66"/>
    <w:rsid w:val="007C6308"/>
    <w:rsid w:val="007E6722"/>
    <w:rsid w:val="007F7FE0"/>
    <w:rsid w:val="008116F2"/>
    <w:rsid w:val="0082557A"/>
    <w:rsid w:val="008260D5"/>
    <w:rsid w:val="0084209E"/>
    <w:rsid w:val="00842624"/>
    <w:rsid w:val="00860616"/>
    <w:rsid w:val="008649E2"/>
    <w:rsid w:val="008845A9"/>
    <w:rsid w:val="00884B29"/>
    <w:rsid w:val="00893CF0"/>
    <w:rsid w:val="008972E8"/>
    <w:rsid w:val="008A00F5"/>
    <w:rsid w:val="008A16A5"/>
    <w:rsid w:val="008A1AFB"/>
    <w:rsid w:val="008B5AD2"/>
    <w:rsid w:val="008B76A6"/>
    <w:rsid w:val="008E20E7"/>
    <w:rsid w:val="00912BFA"/>
    <w:rsid w:val="009141DD"/>
    <w:rsid w:val="00924A0E"/>
    <w:rsid w:val="00932D39"/>
    <w:rsid w:val="00935E9E"/>
    <w:rsid w:val="00941188"/>
    <w:rsid w:val="009463CB"/>
    <w:rsid w:val="00950757"/>
    <w:rsid w:val="0096066E"/>
    <w:rsid w:val="009979EC"/>
    <w:rsid w:val="009A2387"/>
    <w:rsid w:val="009C7E30"/>
    <w:rsid w:val="009E411B"/>
    <w:rsid w:val="009F2AA4"/>
    <w:rsid w:val="009F4BD4"/>
    <w:rsid w:val="00A1747B"/>
    <w:rsid w:val="00A32074"/>
    <w:rsid w:val="00A366AA"/>
    <w:rsid w:val="00A60B9D"/>
    <w:rsid w:val="00A66B5E"/>
    <w:rsid w:val="00A76D0F"/>
    <w:rsid w:val="00A805BD"/>
    <w:rsid w:val="00AA542B"/>
    <w:rsid w:val="00AB11E7"/>
    <w:rsid w:val="00AB5D10"/>
    <w:rsid w:val="00AD701D"/>
    <w:rsid w:val="00AD721E"/>
    <w:rsid w:val="00AE63A6"/>
    <w:rsid w:val="00AF08E3"/>
    <w:rsid w:val="00B038CA"/>
    <w:rsid w:val="00B13A23"/>
    <w:rsid w:val="00B63D34"/>
    <w:rsid w:val="00B74458"/>
    <w:rsid w:val="00BA5491"/>
    <w:rsid w:val="00BC0E57"/>
    <w:rsid w:val="00BC49D2"/>
    <w:rsid w:val="00BD693A"/>
    <w:rsid w:val="00C00FFA"/>
    <w:rsid w:val="00C0515E"/>
    <w:rsid w:val="00C340D6"/>
    <w:rsid w:val="00C43E21"/>
    <w:rsid w:val="00C478AC"/>
    <w:rsid w:val="00C54318"/>
    <w:rsid w:val="00C61820"/>
    <w:rsid w:val="00C7274C"/>
    <w:rsid w:val="00C8301F"/>
    <w:rsid w:val="00CA142C"/>
    <w:rsid w:val="00CB3C2C"/>
    <w:rsid w:val="00CD69B1"/>
    <w:rsid w:val="00CE565D"/>
    <w:rsid w:val="00D030D3"/>
    <w:rsid w:val="00D174B1"/>
    <w:rsid w:val="00D34D77"/>
    <w:rsid w:val="00D36159"/>
    <w:rsid w:val="00D36B35"/>
    <w:rsid w:val="00D42C2C"/>
    <w:rsid w:val="00D4579B"/>
    <w:rsid w:val="00D51332"/>
    <w:rsid w:val="00D67258"/>
    <w:rsid w:val="00D9789C"/>
    <w:rsid w:val="00DA2073"/>
    <w:rsid w:val="00DA3F9D"/>
    <w:rsid w:val="00DA4EB4"/>
    <w:rsid w:val="00DB18D5"/>
    <w:rsid w:val="00DB38DD"/>
    <w:rsid w:val="00DE30F3"/>
    <w:rsid w:val="00DF397F"/>
    <w:rsid w:val="00E04D4B"/>
    <w:rsid w:val="00E050DD"/>
    <w:rsid w:val="00E149C2"/>
    <w:rsid w:val="00E16824"/>
    <w:rsid w:val="00E364B4"/>
    <w:rsid w:val="00E62E44"/>
    <w:rsid w:val="00E63DDC"/>
    <w:rsid w:val="00E77DBA"/>
    <w:rsid w:val="00E85B54"/>
    <w:rsid w:val="00E95BC8"/>
    <w:rsid w:val="00EA7719"/>
    <w:rsid w:val="00EB35E0"/>
    <w:rsid w:val="00EB626D"/>
    <w:rsid w:val="00EB74A4"/>
    <w:rsid w:val="00EE0114"/>
    <w:rsid w:val="00EE0272"/>
    <w:rsid w:val="00EF3E2A"/>
    <w:rsid w:val="00F010B9"/>
    <w:rsid w:val="00F44938"/>
    <w:rsid w:val="00F52E25"/>
    <w:rsid w:val="00F56FE1"/>
    <w:rsid w:val="00F71D0A"/>
    <w:rsid w:val="00F7218F"/>
    <w:rsid w:val="00F85D19"/>
    <w:rsid w:val="00FD061F"/>
    <w:rsid w:val="00FD2520"/>
    <w:rsid w:val="00FD7626"/>
    <w:rsid w:val="00FE1E4D"/>
    <w:rsid w:val="2147407D"/>
    <w:rsid w:val="3D53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82CE"/>
  <w15:chartTrackingRefBased/>
  <w15:docId w15:val="{6754262E-8265-40F2-8283-A6D89398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23C2C-9A64-4326-BFC8-8F7FAC8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Pośpiech</dc:creator>
  <cp:keywords/>
  <dc:description/>
  <cp:lastModifiedBy>Monika Langner</cp:lastModifiedBy>
  <cp:revision>5</cp:revision>
  <dcterms:created xsi:type="dcterms:W3CDTF">2025-08-05T06:59:00Z</dcterms:created>
  <dcterms:modified xsi:type="dcterms:W3CDTF">2025-09-18T06:58:00Z</dcterms:modified>
</cp:coreProperties>
</file>