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DAAF" w14:textId="77777777" w:rsidR="00C16980" w:rsidRPr="00601F23" w:rsidRDefault="00C16980" w:rsidP="00601F23">
      <w:pPr>
        <w:spacing w:line="276" w:lineRule="auto"/>
        <w:rPr>
          <w:rFonts w:cstheme="minorHAnsi"/>
          <w:sz w:val="24"/>
          <w:szCs w:val="24"/>
        </w:rPr>
      </w:pPr>
    </w:p>
    <w:p w14:paraId="36752D4A" w14:textId="77777777" w:rsidR="00C16980" w:rsidRPr="00601F23" w:rsidRDefault="00C16980" w:rsidP="00601F23">
      <w:pPr>
        <w:spacing w:line="276" w:lineRule="auto"/>
        <w:rPr>
          <w:rFonts w:cstheme="minorHAnsi"/>
          <w:sz w:val="24"/>
          <w:szCs w:val="24"/>
        </w:rPr>
      </w:pPr>
      <w:r w:rsidRPr="00601F23">
        <w:rPr>
          <w:rFonts w:cstheme="minorHAnsi"/>
          <w:noProof/>
          <w:sz w:val="24"/>
          <w:szCs w:val="24"/>
          <w:lang w:eastAsia="pl-PL"/>
        </w:rPr>
        <w:drawing>
          <wp:inline distT="0" distB="0" distL="0" distR="0" wp14:anchorId="5E382900" wp14:editId="2B89DFBC">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48573A53" w14:textId="77777777" w:rsidR="00C16980" w:rsidRPr="00601F23" w:rsidRDefault="00C16980" w:rsidP="00601F23">
      <w:pPr>
        <w:spacing w:line="276" w:lineRule="auto"/>
        <w:rPr>
          <w:rFonts w:cstheme="minorHAnsi"/>
          <w:sz w:val="24"/>
          <w:szCs w:val="24"/>
        </w:rPr>
      </w:pPr>
    </w:p>
    <w:p w14:paraId="0CF8988D" w14:textId="53AE85FB" w:rsidR="0012751D" w:rsidRDefault="0012751D" w:rsidP="00755664">
      <w:pPr>
        <w:tabs>
          <w:tab w:val="center" w:pos="4536"/>
          <w:tab w:val="right" w:pos="9072"/>
        </w:tabs>
        <w:spacing w:after="0" w:line="240" w:lineRule="auto"/>
        <w:jc w:val="both"/>
        <w:rPr>
          <w:rFonts w:ascii="Calibri" w:eastAsia="Times New Roman" w:hAnsi="Calibri" w:cs="Calibri"/>
          <w:sz w:val="20"/>
          <w:szCs w:val="20"/>
        </w:rPr>
      </w:pPr>
    </w:p>
    <w:p w14:paraId="7908625E" w14:textId="77777777" w:rsidR="00210302" w:rsidRPr="00210302" w:rsidRDefault="00210302" w:rsidP="00210302">
      <w:pPr>
        <w:tabs>
          <w:tab w:val="center" w:pos="4536"/>
          <w:tab w:val="right" w:pos="9072"/>
        </w:tabs>
        <w:spacing w:after="0" w:line="240" w:lineRule="auto"/>
        <w:jc w:val="both"/>
        <w:rPr>
          <w:rFonts w:ascii="Calibri" w:eastAsia="Times New Roman" w:hAnsi="Calibri" w:cs="Calibri"/>
          <w:sz w:val="20"/>
          <w:szCs w:val="20"/>
        </w:rPr>
      </w:pPr>
      <w:r w:rsidRPr="00210302">
        <w:rPr>
          <w:rFonts w:ascii="Calibri" w:eastAsia="Times New Roman" w:hAnsi="Calibri" w:cs="Calibri"/>
          <w:sz w:val="20"/>
          <w:szCs w:val="20"/>
        </w:rPr>
        <w:t xml:space="preserve">Załącznik do Uchwały </w:t>
      </w:r>
    </w:p>
    <w:p w14:paraId="51B296B9" w14:textId="186D2E26" w:rsidR="00210302" w:rsidRPr="00210302" w:rsidRDefault="00210302" w:rsidP="00210302">
      <w:pPr>
        <w:tabs>
          <w:tab w:val="center" w:pos="4536"/>
          <w:tab w:val="right" w:pos="9072"/>
        </w:tabs>
        <w:spacing w:after="0" w:line="240" w:lineRule="auto"/>
        <w:jc w:val="both"/>
        <w:rPr>
          <w:rFonts w:ascii="Calibri" w:eastAsia="Times New Roman" w:hAnsi="Calibri" w:cs="Calibri"/>
          <w:sz w:val="20"/>
          <w:szCs w:val="20"/>
        </w:rPr>
      </w:pPr>
      <w:r w:rsidRPr="00210302">
        <w:rPr>
          <w:rFonts w:ascii="Calibri" w:eastAsia="Times New Roman" w:hAnsi="Calibri" w:cs="Calibri"/>
          <w:sz w:val="20"/>
          <w:szCs w:val="20"/>
        </w:rPr>
        <w:t xml:space="preserve">Nr </w:t>
      </w:r>
      <w:r w:rsidR="00CD71BF">
        <w:rPr>
          <w:rFonts w:ascii="Calibri" w:eastAsia="Times New Roman" w:hAnsi="Calibri" w:cs="Calibri"/>
          <w:sz w:val="20"/>
          <w:szCs w:val="20"/>
        </w:rPr>
        <w:t>143</w:t>
      </w:r>
      <w:r w:rsidRPr="00210302">
        <w:rPr>
          <w:rFonts w:ascii="Calibri" w:eastAsia="Times New Roman" w:hAnsi="Calibri" w:cs="Calibri"/>
          <w:sz w:val="20"/>
          <w:szCs w:val="20"/>
        </w:rPr>
        <w:t>/2025 KM FEO 2021-2027</w:t>
      </w:r>
    </w:p>
    <w:p w14:paraId="4B4D2AAC" w14:textId="77777777" w:rsidR="00210302" w:rsidRPr="00210302" w:rsidRDefault="00210302" w:rsidP="00210302">
      <w:pPr>
        <w:tabs>
          <w:tab w:val="center" w:pos="4536"/>
          <w:tab w:val="right" w:pos="9072"/>
        </w:tabs>
        <w:spacing w:after="0" w:line="240" w:lineRule="auto"/>
        <w:jc w:val="both"/>
        <w:rPr>
          <w:rFonts w:ascii="Calibri" w:eastAsia="Times New Roman" w:hAnsi="Calibri" w:cs="Calibri"/>
          <w:sz w:val="20"/>
          <w:szCs w:val="20"/>
        </w:rPr>
      </w:pPr>
      <w:r w:rsidRPr="00210302">
        <w:rPr>
          <w:rFonts w:ascii="Calibri" w:eastAsia="Times New Roman" w:hAnsi="Calibri" w:cs="Calibri"/>
          <w:sz w:val="20"/>
          <w:szCs w:val="20"/>
        </w:rPr>
        <w:t>z dnia 30 maja 2025 r.</w:t>
      </w:r>
    </w:p>
    <w:p w14:paraId="55655A6B" w14:textId="77777777" w:rsidR="00C16980" w:rsidRPr="00601F23" w:rsidRDefault="00C16980" w:rsidP="00601F23">
      <w:pPr>
        <w:spacing w:after="0" w:line="276" w:lineRule="auto"/>
        <w:rPr>
          <w:rFonts w:eastAsia="Times New Roman" w:cstheme="minorHAnsi"/>
          <w:b/>
          <w:bCs/>
          <w:color w:val="000099"/>
          <w:sz w:val="24"/>
          <w:szCs w:val="24"/>
        </w:rPr>
      </w:pPr>
    </w:p>
    <w:p w14:paraId="2C4A93AA" w14:textId="77777777" w:rsidR="00C16980" w:rsidRDefault="00C16980" w:rsidP="00601F23">
      <w:pPr>
        <w:spacing w:after="0" w:line="276" w:lineRule="auto"/>
        <w:rPr>
          <w:rFonts w:eastAsia="Times New Roman" w:cstheme="minorHAnsi"/>
          <w:b/>
          <w:bCs/>
          <w:color w:val="000099"/>
          <w:sz w:val="24"/>
          <w:szCs w:val="24"/>
        </w:rPr>
      </w:pPr>
    </w:p>
    <w:p w14:paraId="7C6EA5A2" w14:textId="77777777" w:rsidR="00F65354" w:rsidRPr="00601F23" w:rsidRDefault="00F65354" w:rsidP="00601F23">
      <w:pPr>
        <w:spacing w:after="0" w:line="276" w:lineRule="auto"/>
        <w:rPr>
          <w:rFonts w:eastAsia="Times New Roman" w:cstheme="minorHAnsi"/>
          <w:b/>
          <w:bCs/>
          <w:color w:val="000099"/>
          <w:sz w:val="24"/>
          <w:szCs w:val="24"/>
        </w:rPr>
      </w:pPr>
    </w:p>
    <w:p w14:paraId="440F9D9A" w14:textId="77777777" w:rsidR="00C16980" w:rsidRPr="00C06F4F" w:rsidRDefault="00C16980" w:rsidP="00601F23">
      <w:pPr>
        <w:spacing w:after="0" w:line="276" w:lineRule="auto"/>
        <w:rPr>
          <w:rFonts w:eastAsia="Times New Roman" w:cstheme="minorHAnsi"/>
          <w:b/>
          <w:bCs/>
          <w:color w:val="000099"/>
          <w:sz w:val="48"/>
          <w:szCs w:val="48"/>
        </w:rPr>
      </w:pPr>
      <w:r w:rsidRPr="00C06F4F">
        <w:rPr>
          <w:rFonts w:eastAsia="Times New Roman" w:cstheme="minorHAnsi"/>
          <w:b/>
          <w:bCs/>
          <w:color w:val="000099"/>
          <w:sz w:val="48"/>
          <w:szCs w:val="48"/>
        </w:rPr>
        <w:t>KRYTERIA</w:t>
      </w:r>
      <w:r w:rsidR="00FB5802" w:rsidRPr="00C06F4F">
        <w:rPr>
          <w:rFonts w:eastAsia="Times New Roman" w:cstheme="minorHAnsi"/>
          <w:b/>
          <w:bCs/>
          <w:color w:val="000099"/>
          <w:sz w:val="48"/>
          <w:szCs w:val="48"/>
        </w:rPr>
        <w:t xml:space="preserve"> FORMALNE</w:t>
      </w:r>
      <w:r w:rsidRPr="00C06F4F">
        <w:rPr>
          <w:rFonts w:eastAsia="Times New Roman" w:cstheme="minorHAnsi"/>
          <w:b/>
          <w:bCs/>
          <w:color w:val="000099"/>
          <w:sz w:val="48"/>
          <w:szCs w:val="48"/>
        </w:rPr>
        <w:t xml:space="preserve"> DLA WSZYSTKICH DZIAŁAŃ FEO 2021-2027 </w:t>
      </w:r>
    </w:p>
    <w:p w14:paraId="261DE34E" w14:textId="77FBCAA8" w:rsidR="00C16980" w:rsidRPr="00C06F4F" w:rsidRDefault="00C16980" w:rsidP="00601F23">
      <w:pPr>
        <w:spacing w:after="0" w:line="276" w:lineRule="auto"/>
        <w:rPr>
          <w:rFonts w:eastAsia="Times New Roman" w:cstheme="minorHAnsi"/>
          <w:b/>
          <w:bCs/>
          <w:color w:val="000099"/>
          <w:sz w:val="48"/>
          <w:szCs w:val="48"/>
        </w:rPr>
      </w:pPr>
      <w:r w:rsidRPr="00C06F4F">
        <w:rPr>
          <w:rFonts w:eastAsia="Times New Roman" w:cstheme="minorHAnsi"/>
          <w:b/>
          <w:bCs/>
          <w:color w:val="000099"/>
          <w:sz w:val="48"/>
          <w:szCs w:val="48"/>
        </w:rPr>
        <w:t>(dla postępowań konkurencyjnych)</w:t>
      </w:r>
      <w:r w:rsidR="006150C2">
        <w:rPr>
          <w:rFonts w:eastAsia="Times New Roman" w:cstheme="minorHAnsi"/>
          <w:b/>
          <w:bCs/>
          <w:color w:val="000099"/>
          <w:sz w:val="48"/>
          <w:szCs w:val="48"/>
        </w:rPr>
        <w:t xml:space="preserve"> - aktualizacja</w:t>
      </w:r>
    </w:p>
    <w:p w14:paraId="63A5F050" w14:textId="77777777" w:rsidR="00C16980" w:rsidRPr="00C06F4F" w:rsidRDefault="00C16980" w:rsidP="00601F23">
      <w:pPr>
        <w:spacing w:after="0" w:line="276" w:lineRule="auto"/>
        <w:rPr>
          <w:rFonts w:eastAsia="Times New Roman" w:cstheme="minorHAnsi"/>
          <w:b/>
          <w:bCs/>
          <w:color w:val="000099"/>
          <w:sz w:val="48"/>
          <w:szCs w:val="48"/>
        </w:rPr>
      </w:pPr>
    </w:p>
    <w:p w14:paraId="70012A1D" w14:textId="77777777" w:rsidR="00C16980" w:rsidRPr="00F65354" w:rsidRDefault="00C16980" w:rsidP="00601F23">
      <w:pPr>
        <w:spacing w:line="276" w:lineRule="auto"/>
        <w:rPr>
          <w:rFonts w:eastAsia="Times New Roman" w:cstheme="minorHAnsi"/>
          <w:b/>
          <w:bCs/>
          <w:color w:val="000099"/>
          <w:sz w:val="44"/>
          <w:szCs w:val="44"/>
        </w:rPr>
      </w:pPr>
      <w:r w:rsidRPr="00F65354">
        <w:rPr>
          <w:rFonts w:eastAsia="Times New Roman" w:cstheme="minorHAnsi"/>
          <w:b/>
          <w:bCs/>
          <w:color w:val="000099"/>
          <w:sz w:val="44"/>
          <w:szCs w:val="44"/>
        </w:rPr>
        <w:t>Zakres: Europejski Fundusz Społeczny Plus</w:t>
      </w:r>
    </w:p>
    <w:p w14:paraId="77B9A0CE" w14:textId="77777777" w:rsidR="00C16980" w:rsidRPr="00601F23" w:rsidRDefault="00C16980" w:rsidP="00601F23">
      <w:pPr>
        <w:spacing w:line="276" w:lineRule="auto"/>
        <w:rPr>
          <w:rFonts w:eastAsia="Times New Roman" w:cstheme="minorHAnsi"/>
          <w:b/>
          <w:bCs/>
          <w:color w:val="000099"/>
          <w:sz w:val="24"/>
          <w:szCs w:val="24"/>
        </w:rPr>
      </w:pPr>
    </w:p>
    <w:p w14:paraId="44C72044" w14:textId="77777777" w:rsidR="00E53F93" w:rsidRPr="00601F23" w:rsidRDefault="00E53F93" w:rsidP="00601F23">
      <w:pPr>
        <w:spacing w:line="276" w:lineRule="auto"/>
        <w:rPr>
          <w:rFonts w:eastAsia="Times New Roman" w:cstheme="minorHAnsi"/>
          <w:color w:val="000000"/>
          <w:sz w:val="24"/>
          <w:szCs w:val="24"/>
        </w:rPr>
      </w:pPr>
    </w:p>
    <w:p w14:paraId="01683CC8" w14:textId="77777777" w:rsidR="00C16980" w:rsidRPr="00601F23" w:rsidRDefault="00C16980" w:rsidP="00601F23">
      <w:pPr>
        <w:spacing w:after="0" w:line="276" w:lineRule="auto"/>
        <w:rPr>
          <w:rFonts w:eastAsia="Calibri" w:cstheme="minorHAnsi"/>
          <w:b/>
          <w:color w:val="000099"/>
          <w:sz w:val="24"/>
          <w:szCs w:val="24"/>
        </w:rPr>
      </w:pPr>
    </w:p>
    <w:tbl>
      <w:tblPr>
        <w:tblW w:w="15168"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699"/>
        <w:gridCol w:w="8930"/>
        <w:gridCol w:w="2977"/>
      </w:tblGrid>
      <w:tr w:rsidR="00FE3E23" w:rsidRPr="00601F23" w14:paraId="230F5896" w14:textId="2889A6F7" w:rsidTr="00FE3E23">
        <w:trPr>
          <w:trHeight w:val="231"/>
          <w:tblHeader/>
        </w:trPr>
        <w:tc>
          <w:tcPr>
            <w:tcW w:w="15168" w:type="dxa"/>
            <w:gridSpan w:val="4"/>
            <w:shd w:val="clear" w:color="auto" w:fill="D9D9D9"/>
            <w:noWrap/>
            <w:vAlign w:val="center"/>
          </w:tcPr>
          <w:p w14:paraId="16F07D9B" w14:textId="77777777" w:rsidR="00FE3E23" w:rsidRPr="00601F23" w:rsidRDefault="00FE3E23"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lastRenderedPageBreak/>
              <w:t>Kryteria formalne</w:t>
            </w:r>
          </w:p>
        </w:tc>
      </w:tr>
      <w:tr w:rsidR="00FE3E23" w:rsidRPr="00601F23" w14:paraId="5EF05205" w14:textId="2CC41ED9" w:rsidTr="00FE3E23">
        <w:trPr>
          <w:trHeight w:val="231"/>
          <w:tblHeader/>
        </w:trPr>
        <w:tc>
          <w:tcPr>
            <w:tcW w:w="562" w:type="dxa"/>
            <w:shd w:val="clear" w:color="auto" w:fill="D9D9D9"/>
            <w:noWrap/>
            <w:vAlign w:val="center"/>
          </w:tcPr>
          <w:p w14:paraId="1EC63717"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2699" w:type="dxa"/>
            <w:shd w:val="clear" w:color="auto" w:fill="D9D9D9"/>
            <w:noWrap/>
            <w:vAlign w:val="center"/>
          </w:tcPr>
          <w:p w14:paraId="353C3F37"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930" w:type="dxa"/>
            <w:shd w:val="clear" w:color="auto" w:fill="D9D9D9"/>
            <w:vAlign w:val="center"/>
          </w:tcPr>
          <w:p w14:paraId="6351F89B"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977" w:type="dxa"/>
            <w:shd w:val="clear" w:color="auto" w:fill="D9D9D9"/>
            <w:vAlign w:val="center"/>
          </w:tcPr>
          <w:p w14:paraId="5ABB4FC6"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FE3E23" w:rsidRPr="00601F23" w14:paraId="14F542DB" w14:textId="05B7CEB1" w:rsidTr="00FE3E23">
        <w:trPr>
          <w:trHeight w:val="327"/>
          <w:tblHeader/>
        </w:trPr>
        <w:tc>
          <w:tcPr>
            <w:tcW w:w="562" w:type="dxa"/>
            <w:shd w:val="clear" w:color="auto" w:fill="F2F2F2"/>
            <w:noWrap/>
            <w:vAlign w:val="center"/>
          </w:tcPr>
          <w:p w14:paraId="448763A8"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1</w:t>
            </w:r>
          </w:p>
        </w:tc>
        <w:tc>
          <w:tcPr>
            <w:tcW w:w="2699" w:type="dxa"/>
            <w:shd w:val="clear" w:color="auto" w:fill="F2F2F2"/>
            <w:noWrap/>
            <w:vAlign w:val="center"/>
          </w:tcPr>
          <w:p w14:paraId="1906F5B5"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2</w:t>
            </w:r>
          </w:p>
        </w:tc>
        <w:tc>
          <w:tcPr>
            <w:tcW w:w="8930" w:type="dxa"/>
            <w:shd w:val="clear" w:color="auto" w:fill="F2F2F2"/>
            <w:vAlign w:val="center"/>
          </w:tcPr>
          <w:p w14:paraId="3B0CD3C8"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3</w:t>
            </w:r>
          </w:p>
        </w:tc>
        <w:tc>
          <w:tcPr>
            <w:tcW w:w="2977" w:type="dxa"/>
            <w:shd w:val="clear" w:color="auto" w:fill="F2F2F2"/>
            <w:vAlign w:val="center"/>
          </w:tcPr>
          <w:p w14:paraId="76256DE1"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4</w:t>
            </w:r>
          </w:p>
        </w:tc>
      </w:tr>
      <w:tr w:rsidR="00FE3E23" w:rsidRPr="00601F23" w14:paraId="636EA6F2" w14:textId="2B642CB1" w:rsidTr="00FE3E2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06ACBA8" w14:textId="659D7BAD"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C13A01C" w14:textId="2716C41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930"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CEEB913" w14:textId="727CE69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3D3ED6A9" w14:textId="77777777" w:rsidR="00FE3E23" w:rsidRPr="00601F23" w:rsidRDefault="00FE3E23" w:rsidP="00425F6A">
            <w:pPr>
              <w:spacing w:after="0" w:line="276" w:lineRule="auto"/>
              <w:rPr>
                <w:rFonts w:eastAsia="Calibri" w:cstheme="minorHAnsi"/>
                <w:sz w:val="24"/>
                <w:szCs w:val="24"/>
              </w:rPr>
            </w:pPr>
          </w:p>
          <w:p w14:paraId="37F20EDE" w14:textId="6F8D7B3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97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C311E92" w14:textId="435B77FC" w:rsidR="00FE3E23" w:rsidRPr="00601F23" w:rsidRDefault="00FE3E23" w:rsidP="00425F6A">
            <w:pPr>
              <w:spacing w:after="0" w:line="276" w:lineRule="auto"/>
              <w:rPr>
                <w:rFonts w:cstheme="minorHAnsi"/>
                <w:sz w:val="24"/>
                <w:szCs w:val="24"/>
              </w:rPr>
            </w:pPr>
            <w:r w:rsidRPr="00601F23">
              <w:rPr>
                <w:rFonts w:cstheme="minorHAnsi"/>
                <w:sz w:val="24"/>
                <w:szCs w:val="24"/>
              </w:rPr>
              <w:t>Kryterium bezwzględne (0/1)</w:t>
            </w:r>
          </w:p>
        </w:tc>
      </w:tr>
      <w:tr w:rsidR="00FE3E23" w:rsidRPr="00601F23" w14:paraId="5243AEAA" w14:textId="2AFC202A" w:rsidTr="00FE3E2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012979D" w14:textId="0094502F"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44F2387"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Wniosek o dofinansowanie projektu został podpisany w sposób zgodny z Instrukcją wypełniania wniosku </w:t>
            </w:r>
            <w:r w:rsidRPr="00601F23">
              <w:rPr>
                <w:rFonts w:eastAsia="Calibri" w:cstheme="minorHAnsi"/>
                <w:sz w:val="24"/>
                <w:szCs w:val="24"/>
              </w:rPr>
              <w:br/>
              <w:t>o dofinansowanie projektu w ramach programu regionalnego Fundusze Europejskie dla Opolskiego 2021-2027 (zakres EFS+).</w:t>
            </w:r>
          </w:p>
        </w:tc>
        <w:tc>
          <w:tcPr>
            <w:tcW w:w="8930" w:type="dxa"/>
            <w:tcBorders>
              <w:top w:val="single" w:sz="4" w:space="0" w:color="92D050"/>
              <w:left w:val="single" w:sz="4" w:space="0" w:color="92D050"/>
              <w:bottom w:val="single" w:sz="4" w:space="0" w:color="92D050"/>
              <w:right w:val="single" w:sz="4" w:space="0" w:color="92D050"/>
            </w:tcBorders>
            <w:vAlign w:val="center"/>
          </w:tcPr>
          <w:p w14:paraId="6B129C13"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43FA8149" w14:textId="77777777" w:rsidR="00FE3E23" w:rsidRPr="00601F23" w:rsidRDefault="00FE3E23" w:rsidP="00425F6A">
            <w:pPr>
              <w:spacing w:after="0" w:line="276" w:lineRule="auto"/>
              <w:rPr>
                <w:rFonts w:eastAsia="Calibri" w:cstheme="minorHAnsi"/>
                <w:sz w:val="24"/>
                <w:szCs w:val="24"/>
              </w:rPr>
            </w:pPr>
          </w:p>
          <w:p w14:paraId="7C3E9513" w14:textId="21BD38DD"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07E9E5A7" w14:textId="77777777" w:rsidR="00FE3E23" w:rsidRPr="00601F23" w:rsidRDefault="00FE3E23" w:rsidP="00425F6A">
            <w:pPr>
              <w:spacing w:after="0" w:line="276" w:lineRule="auto"/>
              <w:rPr>
                <w:rFonts w:eastAsia="Calibri" w:cstheme="minorHAnsi"/>
                <w:sz w:val="24"/>
                <w:szCs w:val="24"/>
              </w:rPr>
            </w:pPr>
          </w:p>
        </w:tc>
        <w:tc>
          <w:tcPr>
            <w:tcW w:w="2977" w:type="dxa"/>
            <w:tcBorders>
              <w:top w:val="single" w:sz="4" w:space="0" w:color="92D050"/>
              <w:left w:val="single" w:sz="4" w:space="0" w:color="92D050"/>
              <w:bottom w:val="single" w:sz="4" w:space="0" w:color="92D050"/>
              <w:right w:val="single" w:sz="4" w:space="0" w:color="92D050"/>
            </w:tcBorders>
            <w:vAlign w:val="center"/>
          </w:tcPr>
          <w:p w14:paraId="331BF2F0" w14:textId="77777777" w:rsidR="00FE3E23" w:rsidRPr="00601F23" w:rsidRDefault="00FE3E23" w:rsidP="00425F6A">
            <w:pPr>
              <w:spacing w:after="0" w:line="276" w:lineRule="auto"/>
              <w:rPr>
                <w:rFonts w:cstheme="minorHAnsi"/>
                <w:sz w:val="24"/>
                <w:szCs w:val="24"/>
              </w:rPr>
            </w:pPr>
            <w:r w:rsidRPr="00601F23">
              <w:rPr>
                <w:rFonts w:cstheme="minorHAnsi"/>
                <w:sz w:val="24"/>
                <w:szCs w:val="24"/>
              </w:rPr>
              <w:t>Kryterium bezwzględne (0/1)</w:t>
            </w:r>
          </w:p>
        </w:tc>
      </w:tr>
      <w:tr w:rsidR="00FE3E23" w:rsidRPr="00601F23" w14:paraId="7B002F2E" w14:textId="0B2C6C5D" w:rsidTr="00FE3E23">
        <w:trPr>
          <w:trHeight w:val="1078"/>
        </w:trPr>
        <w:tc>
          <w:tcPr>
            <w:tcW w:w="562" w:type="dxa"/>
            <w:shd w:val="clear" w:color="auto" w:fill="FFFFFF"/>
            <w:noWrap/>
            <w:vAlign w:val="center"/>
          </w:tcPr>
          <w:p w14:paraId="0990828F" w14:textId="029A6DAF"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3.</w:t>
            </w:r>
          </w:p>
        </w:tc>
        <w:tc>
          <w:tcPr>
            <w:tcW w:w="2699" w:type="dxa"/>
            <w:shd w:val="clear" w:color="auto" w:fill="FFFFFF"/>
            <w:vAlign w:val="center"/>
          </w:tcPr>
          <w:p w14:paraId="07ED506A"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930" w:type="dxa"/>
            <w:tcBorders>
              <w:top w:val="single" w:sz="4" w:space="0" w:color="92D050"/>
              <w:left w:val="single" w:sz="4" w:space="0" w:color="92D050"/>
              <w:bottom w:val="single" w:sz="4" w:space="0" w:color="92D050"/>
              <w:right w:val="single" w:sz="4" w:space="0" w:color="92D050"/>
            </w:tcBorders>
            <w:vAlign w:val="center"/>
          </w:tcPr>
          <w:p w14:paraId="3632A94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50950087" w14:textId="77777777" w:rsidR="00FE3E23" w:rsidRPr="00601F23" w:rsidRDefault="00FE3E23" w:rsidP="00425F6A">
            <w:pPr>
              <w:spacing w:after="0" w:line="276" w:lineRule="auto"/>
              <w:rPr>
                <w:rFonts w:eastAsia="Calibri" w:cstheme="minorHAnsi"/>
                <w:sz w:val="24"/>
                <w:szCs w:val="24"/>
              </w:rPr>
            </w:pPr>
          </w:p>
          <w:p w14:paraId="26A92272" w14:textId="733B3333"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419B39AB"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E3E23" w:rsidRPr="00601F23" w14:paraId="1EFE7102" w14:textId="0C67EC77" w:rsidTr="00FE3E23">
        <w:trPr>
          <w:trHeight w:val="758"/>
        </w:trPr>
        <w:tc>
          <w:tcPr>
            <w:tcW w:w="562" w:type="dxa"/>
            <w:shd w:val="clear" w:color="auto" w:fill="FFFFFF"/>
            <w:noWrap/>
            <w:vAlign w:val="center"/>
          </w:tcPr>
          <w:p w14:paraId="511F04A6" w14:textId="219AA112"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4.</w:t>
            </w:r>
          </w:p>
          <w:p w14:paraId="2E0247C5" w14:textId="77777777" w:rsidR="00FE3E23" w:rsidRPr="00601F23" w:rsidRDefault="00FE3E23" w:rsidP="00425F6A">
            <w:pPr>
              <w:spacing w:after="0" w:line="276" w:lineRule="auto"/>
              <w:rPr>
                <w:rFonts w:eastAsia="Calibri" w:cstheme="minorHAnsi"/>
                <w:sz w:val="24"/>
                <w:szCs w:val="24"/>
              </w:rPr>
            </w:pPr>
          </w:p>
          <w:p w14:paraId="288826E3" w14:textId="77777777" w:rsidR="00FE3E23" w:rsidRPr="00601F23" w:rsidRDefault="00FE3E23" w:rsidP="00425F6A">
            <w:pPr>
              <w:spacing w:after="0" w:line="276" w:lineRule="auto"/>
              <w:rPr>
                <w:rFonts w:eastAsia="Calibri" w:cstheme="minorHAnsi"/>
                <w:sz w:val="24"/>
                <w:szCs w:val="24"/>
              </w:rPr>
            </w:pPr>
          </w:p>
        </w:tc>
        <w:tc>
          <w:tcPr>
            <w:tcW w:w="2699" w:type="dxa"/>
            <w:shd w:val="clear" w:color="auto" w:fill="FFFFFF"/>
            <w:vAlign w:val="center"/>
          </w:tcPr>
          <w:p w14:paraId="0A488F89" w14:textId="41FEA45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1CB72FAC" w14:textId="77777777" w:rsidR="00FE3E23" w:rsidRPr="00601F23" w:rsidRDefault="00FE3E23" w:rsidP="00425F6A">
            <w:pPr>
              <w:spacing w:after="0" w:line="276" w:lineRule="auto"/>
              <w:rPr>
                <w:rFonts w:eastAsia="Calibri" w:cstheme="minorHAnsi"/>
                <w:sz w:val="24"/>
                <w:szCs w:val="24"/>
              </w:rPr>
            </w:pPr>
          </w:p>
          <w:p w14:paraId="3AAC961A" w14:textId="77777777" w:rsidR="00FE3E23" w:rsidRPr="00601F23" w:rsidRDefault="00FE3E23" w:rsidP="00425F6A">
            <w:pPr>
              <w:spacing w:after="0" w:line="276" w:lineRule="auto"/>
              <w:rPr>
                <w:rFonts w:eastAsia="Calibri" w:cstheme="minorHAnsi"/>
                <w:sz w:val="24"/>
                <w:szCs w:val="24"/>
              </w:rPr>
            </w:pPr>
          </w:p>
          <w:p w14:paraId="0A073B44" w14:textId="77777777" w:rsidR="00FE3E23" w:rsidRPr="00601F23" w:rsidRDefault="00FE3E23" w:rsidP="00425F6A">
            <w:pPr>
              <w:spacing w:after="0" w:line="276" w:lineRule="auto"/>
              <w:rPr>
                <w:rFonts w:eastAsia="Calibri" w:cstheme="minorHAnsi"/>
                <w:sz w:val="24"/>
                <w:szCs w:val="24"/>
              </w:rPr>
            </w:pPr>
          </w:p>
          <w:p w14:paraId="52794EAF" w14:textId="77777777" w:rsidR="00FE3E23" w:rsidRPr="00601F23" w:rsidRDefault="00FE3E23" w:rsidP="00425F6A">
            <w:pPr>
              <w:spacing w:after="0" w:line="276" w:lineRule="auto"/>
              <w:rPr>
                <w:rFonts w:eastAsia="Calibri" w:cstheme="minorHAnsi"/>
                <w:sz w:val="24"/>
                <w:szCs w:val="24"/>
              </w:rPr>
            </w:pPr>
          </w:p>
        </w:tc>
        <w:tc>
          <w:tcPr>
            <w:tcW w:w="8930" w:type="dxa"/>
            <w:vAlign w:val="center"/>
          </w:tcPr>
          <w:p w14:paraId="711D8921"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1522BE03" w14:textId="77777777" w:rsidR="00FE3E23" w:rsidRPr="00601F23" w:rsidRDefault="00FE3E23" w:rsidP="00425F6A">
            <w:pPr>
              <w:numPr>
                <w:ilvl w:val="0"/>
                <w:numId w:val="3"/>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70E038DA" w14:textId="77777777" w:rsidR="00FE3E23" w:rsidRPr="00601F23" w:rsidRDefault="00FE3E23" w:rsidP="00425F6A">
            <w:pPr>
              <w:numPr>
                <w:ilvl w:val="0"/>
                <w:numId w:val="3"/>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64F1F323"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 </w:t>
            </w:r>
          </w:p>
          <w:p w14:paraId="31096DF1"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51CB836D" w14:textId="77777777" w:rsidR="00FE3E23" w:rsidRPr="00601F23" w:rsidRDefault="00FE3E23" w:rsidP="00425F6A">
            <w:pPr>
              <w:spacing w:after="0" w:line="276" w:lineRule="auto"/>
              <w:rPr>
                <w:rFonts w:eastAsia="Calibri" w:cstheme="minorHAnsi"/>
                <w:sz w:val="24"/>
                <w:szCs w:val="24"/>
              </w:rPr>
            </w:pPr>
          </w:p>
          <w:p w14:paraId="077DD461" w14:textId="77777777" w:rsidR="00FE3E23" w:rsidRPr="00601F23" w:rsidRDefault="00240C39" w:rsidP="00425F6A">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FE3E23" w:rsidRPr="00601F23">
              <w:rPr>
                <w:rFonts w:eastAsia="Calibri" w:cstheme="minorHAnsi"/>
                <w:sz w:val="24"/>
                <w:szCs w:val="24"/>
              </w:rPr>
              <w:t xml:space="preserve">    x 12 miesięcy.</w:t>
            </w:r>
          </w:p>
          <w:p w14:paraId="0149304F" w14:textId="77777777" w:rsidR="00FE3E23" w:rsidRPr="00601F23" w:rsidRDefault="00FE3E23" w:rsidP="00425F6A">
            <w:pPr>
              <w:spacing w:after="0" w:line="276" w:lineRule="auto"/>
              <w:rPr>
                <w:rFonts w:eastAsia="Calibri" w:cstheme="minorHAnsi"/>
                <w:sz w:val="24"/>
                <w:szCs w:val="24"/>
              </w:rPr>
            </w:pPr>
          </w:p>
          <w:p w14:paraId="6FCEFA79"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726BE180" w14:textId="77777777" w:rsidR="00FE3E23" w:rsidRPr="00601F23" w:rsidRDefault="00FE3E23" w:rsidP="00425F6A">
            <w:pPr>
              <w:spacing w:after="0" w:line="276" w:lineRule="auto"/>
              <w:rPr>
                <w:rFonts w:eastAsia="Calibri" w:cstheme="minorHAnsi"/>
                <w:sz w:val="24"/>
                <w:szCs w:val="24"/>
              </w:rPr>
            </w:pPr>
          </w:p>
          <w:p w14:paraId="2FB6E64F"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przypadku gdy:</w:t>
            </w:r>
          </w:p>
          <w:p w14:paraId="16AE3374" w14:textId="77777777" w:rsidR="00FE3E23" w:rsidRPr="00601F23" w:rsidRDefault="00FE3E23" w:rsidP="00425F6A">
            <w:pPr>
              <w:numPr>
                <w:ilvl w:val="0"/>
                <w:numId w:val="2"/>
              </w:numPr>
              <w:spacing w:after="0" w:line="276" w:lineRule="auto"/>
              <w:rPr>
                <w:rFonts w:eastAsia="Calibri" w:cstheme="minorHAnsi"/>
                <w:sz w:val="24"/>
                <w:szCs w:val="24"/>
              </w:rPr>
            </w:pPr>
            <w:r w:rsidRPr="00601F23">
              <w:rPr>
                <w:rFonts w:eastAsia="Calibri" w:cstheme="minorHAnsi"/>
                <w:sz w:val="24"/>
                <w:szCs w:val="24"/>
              </w:rPr>
              <w:lastRenderedPageBreak/>
              <w:t>jednostka sektora finansów publicznych jest Wnioskodawcą, kryterium nie jest badane,</w:t>
            </w:r>
          </w:p>
          <w:p w14:paraId="33F898F2" w14:textId="77777777" w:rsidR="00FE3E23" w:rsidRPr="00CA42D2" w:rsidRDefault="00FE3E23" w:rsidP="00425F6A">
            <w:pPr>
              <w:numPr>
                <w:ilvl w:val="0"/>
                <w:numId w:val="2"/>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6310516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Pr>
                <w:rFonts w:eastAsia="Calibri" w:cstheme="minorHAnsi"/>
                <w:sz w:val="24"/>
                <w:szCs w:val="24"/>
              </w:rPr>
              <w:t xml:space="preserve"> </w:t>
            </w:r>
            <w:r w:rsidRPr="009E3C7B">
              <w:rPr>
                <w:rFonts w:eastAsia="Calibri" w:cstheme="minorHAnsi"/>
                <w:sz w:val="24"/>
                <w:szCs w:val="24"/>
              </w:rPr>
              <w:t>- dotyczy sytuacji, gdy w projekcie realizowanym w Partnerstwie występuje co najmniej jeden Partner nie będący jednostką sektora finansów publicznych.</w:t>
            </w:r>
          </w:p>
          <w:p w14:paraId="040FE64A" w14:textId="77777777" w:rsidR="00FE3E23" w:rsidRPr="00601F23" w:rsidRDefault="00FE3E23" w:rsidP="00425F6A">
            <w:pPr>
              <w:spacing w:after="0" w:line="276" w:lineRule="auto"/>
              <w:rPr>
                <w:rFonts w:eastAsia="Calibri" w:cstheme="minorHAnsi"/>
                <w:sz w:val="24"/>
                <w:szCs w:val="24"/>
              </w:rPr>
            </w:pPr>
          </w:p>
          <w:p w14:paraId="710260BF"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w:t>
            </w:r>
            <w:r>
              <w:rPr>
                <w:rFonts w:eastAsia="Calibri" w:cstheme="minorHAnsi"/>
                <w:sz w:val="24"/>
                <w:szCs w:val="24"/>
              </w:rPr>
              <w:t xml:space="preserve"> (</w:t>
            </w:r>
            <w:r w:rsidRPr="009E3C7B">
              <w:rPr>
                <w:rFonts w:eastAsia="Calibri" w:cstheme="minorHAnsi"/>
                <w:sz w:val="24"/>
                <w:szCs w:val="24"/>
              </w:rPr>
              <w:t>dotyczy sytuacji, gdy w projekcie realizowanym w Partnerstwie występuje co najmniej jeden Partner nie będący jednostką sektora finansów publicznych</w:t>
            </w:r>
            <w:r>
              <w:rPr>
                <w:rFonts w:eastAsia="Calibri" w:cstheme="minorHAnsi"/>
                <w:sz w:val="24"/>
                <w:szCs w:val="24"/>
              </w:rPr>
              <w:t>)</w:t>
            </w:r>
            <w:r w:rsidRPr="00601F23">
              <w:rPr>
                <w:rFonts w:eastAsia="Calibri" w:cstheme="minorHAnsi"/>
                <w:sz w:val="24"/>
                <w:szCs w:val="24"/>
              </w:rPr>
              <w:t xml:space="preserve"> jest równy lub niższy niż 50 % średnich rocznych wydatków w projekcie, stwierdza się niespełnienie kryterium.</w:t>
            </w:r>
          </w:p>
          <w:p w14:paraId="0346849D" w14:textId="77777777" w:rsidR="00FE3E23" w:rsidRPr="00601F23" w:rsidRDefault="00FE3E23" w:rsidP="00425F6A">
            <w:pPr>
              <w:spacing w:after="0" w:line="276" w:lineRule="auto"/>
              <w:rPr>
                <w:rFonts w:eastAsia="Calibri" w:cstheme="minorHAnsi"/>
                <w:sz w:val="24"/>
                <w:szCs w:val="24"/>
              </w:rPr>
            </w:pPr>
          </w:p>
          <w:p w14:paraId="079F1AB0" w14:textId="41281F38"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w:t>
            </w:r>
          </w:p>
        </w:tc>
        <w:tc>
          <w:tcPr>
            <w:tcW w:w="2977" w:type="dxa"/>
            <w:vAlign w:val="center"/>
          </w:tcPr>
          <w:p w14:paraId="7DCF9119"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E3E23" w:rsidRPr="00601F23" w14:paraId="021A577D" w14:textId="092F5AD3" w:rsidTr="00FE3E23">
        <w:trPr>
          <w:trHeight w:val="758"/>
        </w:trPr>
        <w:tc>
          <w:tcPr>
            <w:tcW w:w="562" w:type="dxa"/>
            <w:shd w:val="clear" w:color="auto" w:fill="FFFFFF"/>
            <w:noWrap/>
            <w:vAlign w:val="center"/>
          </w:tcPr>
          <w:p w14:paraId="22421632" w14:textId="642E5531"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5.</w:t>
            </w:r>
          </w:p>
        </w:tc>
        <w:tc>
          <w:tcPr>
            <w:tcW w:w="2699" w:type="dxa"/>
            <w:shd w:val="clear" w:color="auto" w:fill="FFFFFF"/>
            <w:vAlign w:val="center"/>
          </w:tcPr>
          <w:p w14:paraId="5C5A460B"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930" w:type="dxa"/>
            <w:vAlign w:val="center"/>
          </w:tcPr>
          <w:p w14:paraId="0E3DF196"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969B5F2" w14:textId="77777777" w:rsidR="00FE3E23" w:rsidRPr="00601F23" w:rsidRDefault="00FE3E23" w:rsidP="00425F6A">
            <w:pPr>
              <w:spacing w:after="0" w:line="276" w:lineRule="auto"/>
              <w:rPr>
                <w:rFonts w:eastAsia="Calibri" w:cstheme="minorHAnsi"/>
                <w:sz w:val="24"/>
                <w:szCs w:val="24"/>
              </w:rPr>
            </w:pPr>
          </w:p>
          <w:p w14:paraId="6775F66E"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337BBAFF" w14:textId="77777777" w:rsidR="00FE3E23" w:rsidRPr="00601F23" w:rsidRDefault="00FE3E23" w:rsidP="00425F6A">
            <w:pPr>
              <w:spacing w:after="0" w:line="276" w:lineRule="auto"/>
              <w:rPr>
                <w:rFonts w:eastAsia="Calibri" w:cstheme="minorHAnsi"/>
                <w:sz w:val="24"/>
                <w:szCs w:val="24"/>
              </w:rPr>
            </w:pPr>
          </w:p>
          <w:p w14:paraId="170DC756" w14:textId="3B426C3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w:t>
            </w:r>
          </w:p>
        </w:tc>
        <w:tc>
          <w:tcPr>
            <w:tcW w:w="2977" w:type="dxa"/>
            <w:vAlign w:val="center"/>
          </w:tcPr>
          <w:p w14:paraId="06A4FA13"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203A9E4F" w14:textId="60FFABC3" w:rsidTr="00FE3E23">
        <w:trPr>
          <w:trHeight w:val="758"/>
        </w:trPr>
        <w:tc>
          <w:tcPr>
            <w:tcW w:w="562" w:type="dxa"/>
            <w:shd w:val="clear" w:color="auto" w:fill="FFFFFF"/>
            <w:noWrap/>
            <w:vAlign w:val="center"/>
          </w:tcPr>
          <w:p w14:paraId="479B0CCF" w14:textId="3A4D1EF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6.</w:t>
            </w:r>
          </w:p>
        </w:tc>
        <w:tc>
          <w:tcPr>
            <w:tcW w:w="2699" w:type="dxa"/>
            <w:shd w:val="clear" w:color="auto" w:fill="FFFFFF"/>
            <w:vAlign w:val="center"/>
          </w:tcPr>
          <w:p w14:paraId="22473619" w14:textId="22805CD8"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Pr>
                <w:rFonts w:eastAsia="Calibri" w:cstheme="minorHAnsi"/>
                <w:sz w:val="24"/>
                <w:szCs w:val="24"/>
              </w:rPr>
              <w:br/>
            </w:r>
            <w:r w:rsidRPr="00601F23">
              <w:rPr>
                <w:rFonts w:eastAsia="Calibri" w:cstheme="minorHAnsi"/>
                <w:sz w:val="24"/>
                <w:szCs w:val="24"/>
              </w:rPr>
              <w:lastRenderedPageBreak/>
              <w:t xml:space="preserve">ze środków europejskich </w:t>
            </w:r>
            <w:r>
              <w:rPr>
                <w:rFonts w:eastAsia="Calibri" w:cstheme="minorHAnsi"/>
                <w:sz w:val="24"/>
                <w:szCs w:val="24"/>
              </w:rPr>
              <w:br/>
            </w:r>
            <w:r w:rsidRPr="00601F23">
              <w:rPr>
                <w:rFonts w:eastAsia="Calibri" w:cstheme="minorHAnsi"/>
                <w:sz w:val="24"/>
                <w:szCs w:val="24"/>
              </w:rPr>
              <w:t>w perspektywie finansowej 2021–2027.</w:t>
            </w:r>
          </w:p>
        </w:tc>
        <w:tc>
          <w:tcPr>
            <w:tcW w:w="8930" w:type="dxa"/>
            <w:vAlign w:val="center"/>
          </w:tcPr>
          <w:p w14:paraId="20F31FD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2A19753E" w14:textId="77777777" w:rsidR="00FE3E23" w:rsidRPr="00601F23" w:rsidRDefault="00FE3E23" w:rsidP="00425F6A">
            <w:pPr>
              <w:spacing w:after="0" w:line="276" w:lineRule="auto"/>
              <w:rPr>
                <w:rFonts w:eastAsia="Calibri" w:cstheme="minorHAnsi"/>
                <w:sz w:val="24"/>
                <w:szCs w:val="24"/>
              </w:rPr>
            </w:pPr>
          </w:p>
          <w:p w14:paraId="2DB381D9" w14:textId="7E3DDDF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5A892FC2" w14:textId="77777777" w:rsidR="00FE3E23" w:rsidRPr="00601F23" w:rsidRDefault="00FE3E23" w:rsidP="00425F6A">
            <w:pPr>
              <w:spacing w:after="0" w:line="276" w:lineRule="auto"/>
              <w:rPr>
                <w:rFonts w:eastAsia="Calibri" w:cstheme="minorHAnsi"/>
                <w:sz w:val="24"/>
                <w:szCs w:val="24"/>
              </w:rPr>
            </w:pPr>
          </w:p>
        </w:tc>
        <w:tc>
          <w:tcPr>
            <w:tcW w:w="2977" w:type="dxa"/>
            <w:vAlign w:val="center"/>
          </w:tcPr>
          <w:p w14:paraId="5BF9FBB8"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5AD71255" w14:textId="37B8AAA4" w:rsidTr="00FE3E23">
        <w:trPr>
          <w:trHeight w:val="758"/>
        </w:trPr>
        <w:tc>
          <w:tcPr>
            <w:tcW w:w="562" w:type="dxa"/>
            <w:shd w:val="clear" w:color="auto" w:fill="FFFFFF"/>
            <w:noWrap/>
            <w:vAlign w:val="center"/>
          </w:tcPr>
          <w:p w14:paraId="03D7F5B9" w14:textId="6C1C325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7.</w:t>
            </w:r>
          </w:p>
        </w:tc>
        <w:tc>
          <w:tcPr>
            <w:tcW w:w="2699" w:type="dxa"/>
            <w:shd w:val="clear" w:color="auto" w:fill="FFFFFF"/>
            <w:vAlign w:val="center"/>
          </w:tcPr>
          <w:p w14:paraId="0EFA7674"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Wnioskodawca oraz Partnerzy (jeśli dotyczy) nie podlegają wykluczeniu z ubiegania się</w:t>
            </w:r>
            <w:r w:rsidRPr="00601F23">
              <w:rPr>
                <w:rFonts w:eastAsia="Calibri" w:cstheme="minorHAnsi"/>
                <w:sz w:val="24"/>
                <w:szCs w:val="24"/>
              </w:rPr>
              <w:br/>
              <w:t xml:space="preserve"> o dofinansowanie.</w:t>
            </w:r>
          </w:p>
          <w:p w14:paraId="399EF51E" w14:textId="77777777" w:rsidR="00FE3E23" w:rsidRPr="00601F23" w:rsidRDefault="00FE3E23" w:rsidP="00425F6A">
            <w:pPr>
              <w:spacing w:after="0" w:line="276" w:lineRule="auto"/>
              <w:rPr>
                <w:rFonts w:eastAsia="Calibri" w:cstheme="minorHAnsi"/>
                <w:sz w:val="24"/>
                <w:szCs w:val="24"/>
              </w:rPr>
            </w:pPr>
          </w:p>
        </w:tc>
        <w:tc>
          <w:tcPr>
            <w:tcW w:w="8930" w:type="dxa"/>
            <w:vAlign w:val="center"/>
          </w:tcPr>
          <w:p w14:paraId="222E437C"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 podlegają wykluczeniu na podstawie:</w:t>
            </w:r>
          </w:p>
          <w:p w14:paraId="63DFBFBD"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19CBB1BE"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66E9812"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4BCCC068" w14:textId="77777777" w:rsidR="00FE3E23" w:rsidRPr="00601F23" w:rsidRDefault="00FE3E23" w:rsidP="00425F6A">
            <w:pPr>
              <w:spacing w:after="0" w:line="276" w:lineRule="auto"/>
              <w:rPr>
                <w:rFonts w:eastAsia="Calibri" w:cstheme="minorHAnsi"/>
                <w:sz w:val="24"/>
                <w:szCs w:val="24"/>
              </w:rPr>
            </w:pPr>
          </w:p>
          <w:p w14:paraId="1B616DD5" w14:textId="2678DC6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vAlign w:val="center"/>
          </w:tcPr>
          <w:p w14:paraId="03BF3EC1"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02E5BEC2" w14:textId="713AAF5A" w:rsidTr="00FE3E23">
        <w:trPr>
          <w:trHeight w:val="719"/>
        </w:trPr>
        <w:tc>
          <w:tcPr>
            <w:tcW w:w="562" w:type="dxa"/>
            <w:shd w:val="clear" w:color="auto" w:fill="FFFFFF"/>
            <w:noWrap/>
            <w:vAlign w:val="center"/>
          </w:tcPr>
          <w:p w14:paraId="07E724C5" w14:textId="5DE5951E" w:rsidR="00FE3E23" w:rsidRPr="00601F23" w:rsidRDefault="00FE3E23" w:rsidP="00425F6A">
            <w:pPr>
              <w:spacing w:line="276" w:lineRule="auto"/>
              <w:rPr>
                <w:rFonts w:eastAsia="Calibri" w:cstheme="minorHAnsi"/>
                <w:sz w:val="24"/>
                <w:szCs w:val="24"/>
              </w:rPr>
            </w:pPr>
            <w:r w:rsidRPr="00601F23">
              <w:rPr>
                <w:rFonts w:eastAsia="Calibri" w:cstheme="minorHAnsi"/>
                <w:sz w:val="24"/>
                <w:szCs w:val="24"/>
              </w:rPr>
              <w:t>8.</w:t>
            </w:r>
          </w:p>
        </w:tc>
        <w:tc>
          <w:tcPr>
            <w:tcW w:w="2699" w:type="dxa"/>
            <w:shd w:val="clear" w:color="auto" w:fill="FFFFFF"/>
            <w:vAlign w:val="center"/>
          </w:tcPr>
          <w:p w14:paraId="497A3D88" w14:textId="77777777" w:rsidR="00FE3E23" w:rsidRPr="00601F23" w:rsidRDefault="00FE3E23" w:rsidP="00425F6A">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 w projekcie.</w:t>
            </w:r>
          </w:p>
        </w:tc>
        <w:tc>
          <w:tcPr>
            <w:tcW w:w="8930" w:type="dxa"/>
            <w:vAlign w:val="center"/>
          </w:tcPr>
          <w:p w14:paraId="71976B70" w14:textId="77777777" w:rsidR="00FE3E23" w:rsidRPr="00601F23" w:rsidRDefault="00FE3E23" w:rsidP="00425F6A">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59018A24" w14:textId="77777777" w:rsidR="00FE3E23" w:rsidRPr="00601F23" w:rsidRDefault="00FE3E23" w:rsidP="00425F6A">
            <w:pPr>
              <w:spacing w:after="0" w:line="276" w:lineRule="auto"/>
              <w:rPr>
                <w:rFonts w:eastAsia="Times New Roman" w:cstheme="minorHAnsi"/>
                <w:sz w:val="24"/>
                <w:szCs w:val="24"/>
              </w:rPr>
            </w:pPr>
          </w:p>
          <w:p w14:paraId="25043C0A" w14:textId="05ABC0D3" w:rsidR="00FE3E23" w:rsidRPr="00127639" w:rsidRDefault="00FE3E23" w:rsidP="00425F6A">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w:t>
            </w:r>
          </w:p>
        </w:tc>
        <w:tc>
          <w:tcPr>
            <w:tcW w:w="2977" w:type="dxa"/>
            <w:vAlign w:val="center"/>
          </w:tcPr>
          <w:p w14:paraId="2E801656" w14:textId="77777777" w:rsidR="00FE3E23" w:rsidRPr="00601F23" w:rsidRDefault="00FE3E23" w:rsidP="00425F6A">
            <w:pPr>
              <w:spacing w:after="0" w:line="276" w:lineRule="auto"/>
              <w:rPr>
                <w:rFonts w:eastAsia="Times New Roman" w:cstheme="minorHAnsi"/>
                <w:sz w:val="24"/>
                <w:szCs w:val="24"/>
              </w:rPr>
            </w:pPr>
            <w:r w:rsidRPr="00601F23">
              <w:rPr>
                <w:rFonts w:cstheme="minorHAnsi"/>
                <w:sz w:val="24"/>
                <w:szCs w:val="24"/>
              </w:rPr>
              <w:t>Kryterium bezwzględne (0/1)</w:t>
            </w:r>
          </w:p>
        </w:tc>
      </w:tr>
      <w:tr w:rsidR="00240C39" w:rsidRPr="00601F23" w14:paraId="0068B30D" w14:textId="77777777" w:rsidTr="00FE3E23">
        <w:trPr>
          <w:trHeight w:val="719"/>
        </w:trPr>
        <w:tc>
          <w:tcPr>
            <w:tcW w:w="562" w:type="dxa"/>
            <w:shd w:val="clear" w:color="auto" w:fill="FFFFFF"/>
            <w:noWrap/>
            <w:vAlign w:val="center"/>
          </w:tcPr>
          <w:p w14:paraId="392F8D5D" w14:textId="5C3030CD" w:rsidR="00240C39" w:rsidRPr="00601F23" w:rsidRDefault="00240C39" w:rsidP="00240C39">
            <w:pPr>
              <w:spacing w:line="276" w:lineRule="auto"/>
              <w:rPr>
                <w:rFonts w:eastAsia="Calibri" w:cstheme="minorHAnsi"/>
                <w:sz w:val="24"/>
                <w:szCs w:val="24"/>
              </w:rPr>
            </w:pPr>
            <w:r>
              <w:rPr>
                <w:rFonts w:eastAsia="Calibri" w:cstheme="minorHAnsi"/>
                <w:sz w:val="24"/>
                <w:szCs w:val="24"/>
              </w:rPr>
              <w:t>9.</w:t>
            </w:r>
          </w:p>
        </w:tc>
        <w:tc>
          <w:tcPr>
            <w:tcW w:w="2699" w:type="dxa"/>
            <w:shd w:val="clear" w:color="auto" w:fill="FFFFFF"/>
            <w:vAlign w:val="center"/>
          </w:tcPr>
          <w:p w14:paraId="704EE8EC" w14:textId="643D531D"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 xml:space="preserve">o dofinansowanie składa dopuszczalną w Regulaminie wyboru </w:t>
            </w:r>
            <w:r w:rsidRPr="00601F23">
              <w:rPr>
                <w:rFonts w:eastAsia="Times New Roman" w:cstheme="minorHAnsi"/>
                <w:sz w:val="24"/>
                <w:szCs w:val="24"/>
              </w:rPr>
              <w:lastRenderedPageBreak/>
              <w:t>projektów liczbę wniosków niezależnie od tego czy pełni rolę  Wnioskodawcy czy Partnera (jeśli dotyczy).</w:t>
            </w:r>
          </w:p>
        </w:tc>
        <w:tc>
          <w:tcPr>
            <w:tcW w:w="8930" w:type="dxa"/>
            <w:vAlign w:val="center"/>
          </w:tcPr>
          <w:p w14:paraId="1FAA6FC8" w14:textId="77777777" w:rsidR="00240C39" w:rsidRPr="00601F23" w:rsidRDefault="00240C39" w:rsidP="00240C39">
            <w:pPr>
              <w:spacing w:after="200" w:line="276" w:lineRule="auto"/>
              <w:rPr>
                <w:rFonts w:eastAsia="Times New Roman" w:cstheme="minorHAnsi"/>
                <w:sz w:val="24"/>
                <w:szCs w:val="24"/>
              </w:rPr>
            </w:pPr>
            <w:r w:rsidRPr="00601F23">
              <w:rPr>
                <w:rFonts w:eastAsia="Times New Roman" w:cstheme="minorHAnsi"/>
                <w:sz w:val="24"/>
                <w:szCs w:val="24"/>
              </w:rPr>
              <w:lastRenderedPageBreak/>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688F02E0" w14:textId="77777777" w:rsidR="00240C39" w:rsidRPr="00601F23" w:rsidRDefault="00240C39" w:rsidP="00240C39">
            <w:pPr>
              <w:spacing w:after="200" w:line="276" w:lineRule="auto"/>
              <w:rPr>
                <w:rFonts w:eastAsia="Times New Roman" w:cstheme="minorHAnsi"/>
                <w:sz w:val="24"/>
                <w:szCs w:val="24"/>
              </w:rPr>
            </w:pPr>
            <w:r w:rsidRPr="00601F23">
              <w:rPr>
                <w:rFonts w:eastAsia="Times New Roman" w:cstheme="minorHAnsi"/>
                <w:sz w:val="24"/>
                <w:szCs w:val="24"/>
              </w:rPr>
              <w:lastRenderedPageBreak/>
              <w:t xml:space="preserve">Komitet Monitorujący upoważnia Instytucję Zarządzającą do możliwości ograniczenia liczby składanych wniosków w ramach postępowania konkurencyjnego. </w:t>
            </w:r>
          </w:p>
          <w:p w14:paraId="516E468E" w14:textId="77777777"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1E4A9228" w14:textId="0E95A71B"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977" w:type="dxa"/>
            <w:vAlign w:val="center"/>
          </w:tcPr>
          <w:p w14:paraId="2DD5DC14" w14:textId="1E387168" w:rsidR="00240C39" w:rsidRPr="00601F23" w:rsidRDefault="00240C39" w:rsidP="00240C39">
            <w:pPr>
              <w:spacing w:after="0" w:line="276" w:lineRule="auto"/>
              <w:rPr>
                <w:rFonts w:cstheme="minorHAnsi"/>
                <w:sz w:val="24"/>
                <w:szCs w:val="24"/>
              </w:rPr>
            </w:pPr>
            <w:r w:rsidRPr="00601F23">
              <w:rPr>
                <w:rFonts w:cstheme="minorHAnsi"/>
                <w:sz w:val="24"/>
                <w:szCs w:val="24"/>
              </w:rPr>
              <w:lastRenderedPageBreak/>
              <w:t>Kryterium bezwzględne (0/1)</w:t>
            </w:r>
          </w:p>
        </w:tc>
      </w:tr>
      <w:tr w:rsidR="00240C39" w:rsidRPr="00601F23" w14:paraId="537D8CF6" w14:textId="2A915DEE" w:rsidTr="00FE3E23">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CFAB8A4" w14:textId="0BC7ADDC"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t>10.</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98A5E25" w14:textId="5ABA4DA8"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Wartość dofinansowania projektu</w:t>
            </w:r>
            <w:r>
              <w:rPr>
                <w:rFonts w:eastAsia="Calibri" w:cstheme="minorHAnsi"/>
                <w:sz w:val="24"/>
                <w:szCs w:val="24"/>
              </w:rPr>
              <w:t xml:space="preserve"> jest równa lub wyższa od minimalnej kwoty dofinansowania określonej w postępowaniu konkurencyjnym oraz wartość projektu</w:t>
            </w:r>
            <w:r w:rsidRPr="00601F23">
              <w:rPr>
                <w:rFonts w:eastAsia="Calibri" w:cstheme="minorHAnsi"/>
                <w:sz w:val="24"/>
                <w:szCs w:val="24"/>
              </w:rPr>
              <w:t xml:space="preserve"> nie przekracza maksymalnej kwoty dofinansowania określonej </w:t>
            </w:r>
            <w:r w:rsidRPr="00601F23">
              <w:rPr>
                <w:rFonts w:eastAsia="Calibri" w:cstheme="minorHAnsi"/>
                <w:sz w:val="24"/>
                <w:szCs w:val="24"/>
              </w:rPr>
              <w:br/>
              <w:t>w postępowaniu konkurencyjnym (jeśli dotyczy).</w:t>
            </w:r>
          </w:p>
        </w:tc>
        <w:tc>
          <w:tcPr>
            <w:tcW w:w="8930" w:type="dxa"/>
            <w:tcBorders>
              <w:top w:val="single" w:sz="4" w:space="0" w:color="92D050"/>
              <w:left w:val="single" w:sz="4" w:space="0" w:color="92D050"/>
              <w:bottom w:val="single" w:sz="4" w:space="0" w:color="92D050"/>
              <w:right w:val="single" w:sz="4" w:space="0" w:color="92D050"/>
            </w:tcBorders>
            <w:vAlign w:val="center"/>
          </w:tcPr>
          <w:p w14:paraId="0C4A80F2" w14:textId="0F8A7F20"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Wartość wnioskowanego dofinansowania </w:t>
            </w:r>
            <w:r>
              <w:rPr>
                <w:rFonts w:eastAsia="Calibri" w:cstheme="minorHAnsi"/>
                <w:sz w:val="24"/>
                <w:szCs w:val="24"/>
              </w:rPr>
              <w:t xml:space="preserve">jest równa lub wyższa od minimalnej kwoty dofinansowania określonej w Regulaminie wyboru projektów oraz </w:t>
            </w:r>
            <w:r w:rsidRPr="00601F23">
              <w:rPr>
                <w:rFonts w:eastAsia="Calibri" w:cstheme="minorHAnsi"/>
                <w:sz w:val="24"/>
                <w:szCs w:val="24"/>
              </w:rPr>
              <w:t xml:space="preserve">nie przekracza maksymalnej kwoty dofinansowania projektu określonej w Regulaminie wyboru projektów. </w:t>
            </w:r>
          </w:p>
          <w:p w14:paraId="21416CAD" w14:textId="77777777" w:rsidR="00240C39" w:rsidRPr="00601F23" w:rsidRDefault="00240C39" w:rsidP="00240C39">
            <w:pPr>
              <w:spacing w:after="0" w:line="276" w:lineRule="auto"/>
              <w:rPr>
                <w:rFonts w:eastAsia="Calibri" w:cstheme="minorHAnsi"/>
                <w:sz w:val="24"/>
                <w:szCs w:val="24"/>
              </w:rPr>
            </w:pPr>
          </w:p>
          <w:p w14:paraId="65F2FB7E" w14:textId="149C76E9"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Komitet Monitorujący upoważnia Instytucję Zarządzającą do możliwości wskazania </w:t>
            </w:r>
            <w:r>
              <w:rPr>
                <w:rFonts w:eastAsia="Calibri" w:cstheme="minorHAnsi"/>
                <w:sz w:val="24"/>
                <w:szCs w:val="24"/>
              </w:rPr>
              <w:t xml:space="preserve">minimalnej i </w:t>
            </w:r>
            <w:r w:rsidRPr="00601F23">
              <w:rPr>
                <w:rFonts w:eastAsia="Calibri" w:cstheme="minorHAnsi"/>
                <w:sz w:val="24"/>
                <w:szCs w:val="24"/>
              </w:rPr>
              <w:t>maksymalnej kwoty dofinansowania projektu w ramach danego postępowania konkurencyjnego.</w:t>
            </w:r>
          </w:p>
          <w:p w14:paraId="35A6F807" w14:textId="77777777" w:rsidR="00240C39" w:rsidRPr="00601F23" w:rsidRDefault="00240C39" w:rsidP="00240C39">
            <w:pPr>
              <w:spacing w:after="0" w:line="276" w:lineRule="auto"/>
              <w:rPr>
                <w:rFonts w:eastAsia="Calibri" w:cstheme="minorHAnsi"/>
                <w:sz w:val="24"/>
                <w:szCs w:val="24"/>
              </w:rPr>
            </w:pPr>
          </w:p>
          <w:p w14:paraId="6185E38E" w14:textId="2910FF9F"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6877B592" w14:textId="77777777" w:rsidR="00240C39" w:rsidRPr="00601F23" w:rsidRDefault="00240C39" w:rsidP="00240C39">
            <w:pPr>
              <w:spacing w:after="0" w:line="276" w:lineRule="auto"/>
              <w:rPr>
                <w:rFonts w:eastAsia="Calibri" w:cstheme="minorHAnsi"/>
                <w:sz w:val="24"/>
                <w:szCs w:val="24"/>
              </w:rPr>
            </w:pPr>
            <w:r w:rsidRPr="00601F23">
              <w:rPr>
                <w:rFonts w:cstheme="minorHAnsi"/>
                <w:sz w:val="24"/>
                <w:szCs w:val="24"/>
              </w:rPr>
              <w:t>Kryterium bezwzględne (0/1)</w:t>
            </w:r>
          </w:p>
        </w:tc>
      </w:tr>
      <w:tr w:rsidR="00240C39" w:rsidRPr="00601F23" w14:paraId="3FEBC855" w14:textId="4AF11022" w:rsidTr="00FE3E2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2959AED" w14:textId="0263AE66"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lastRenderedPageBreak/>
              <w:t>11.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0653C9C" w14:textId="61F12324"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Pr>
                <w:rFonts w:eastAsia="Calibri" w:cstheme="minorHAnsi"/>
                <w:sz w:val="24"/>
                <w:szCs w:val="24"/>
              </w:rPr>
              <w:br/>
            </w:r>
            <w:r w:rsidRPr="00601F23">
              <w:rPr>
                <w:rFonts w:eastAsia="Calibri" w:cstheme="minorHAnsi"/>
                <w:sz w:val="24"/>
                <w:szCs w:val="24"/>
              </w:rPr>
              <w:t>w Regulaminie wyboru</w:t>
            </w:r>
            <w:r>
              <w:rPr>
                <w:rFonts w:eastAsia="Calibri" w:cstheme="minorHAnsi"/>
                <w:sz w:val="24"/>
                <w:szCs w:val="24"/>
              </w:rPr>
              <w:t xml:space="preserve"> </w:t>
            </w:r>
            <w:r w:rsidRPr="00601F23">
              <w:rPr>
                <w:rFonts w:eastAsia="Calibri" w:cstheme="minorHAnsi"/>
                <w:sz w:val="24"/>
                <w:szCs w:val="24"/>
              </w:rPr>
              <w:t>projektów.</w:t>
            </w:r>
          </w:p>
        </w:tc>
        <w:tc>
          <w:tcPr>
            <w:tcW w:w="8930" w:type="dxa"/>
            <w:tcBorders>
              <w:top w:val="single" w:sz="4" w:space="0" w:color="92D050"/>
              <w:left w:val="single" w:sz="4" w:space="0" w:color="92D050"/>
              <w:bottom w:val="single" w:sz="4" w:space="0" w:color="92D050"/>
              <w:right w:val="single" w:sz="4" w:space="0" w:color="92D050"/>
            </w:tcBorders>
            <w:vAlign w:val="center"/>
          </w:tcPr>
          <w:p w14:paraId="16D2DD3A" w14:textId="77777777" w:rsidR="00240C39" w:rsidRPr="00601F23" w:rsidRDefault="00240C39" w:rsidP="00240C39">
            <w:pPr>
              <w:spacing w:after="0" w:line="276" w:lineRule="auto"/>
              <w:rPr>
                <w:rFonts w:eastAsia="Calibri" w:cstheme="minorHAnsi"/>
                <w:iCs/>
                <w:sz w:val="24"/>
                <w:szCs w:val="24"/>
              </w:rPr>
            </w:pPr>
            <w:r w:rsidRPr="00601F23">
              <w:rPr>
                <w:rFonts w:eastAsia="Calibri" w:cstheme="minorHAnsi"/>
                <w:iCs/>
                <w:sz w:val="24"/>
                <w:szCs w:val="24"/>
              </w:rPr>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rozliczania wydatków wskazanych w regulaminie wyboru projektów.</w:t>
            </w:r>
          </w:p>
          <w:p w14:paraId="327DC885" w14:textId="77777777" w:rsidR="00240C39" w:rsidRPr="00601F23" w:rsidRDefault="00240C39" w:rsidP="00240C39">
            <w:pPr>
              <w:spacing w:after="0" w:line="276" w:lineRule="auto"/>
              <w:rPr>
                <w:rFonts w:eastAsia="Calibri" w:cstheme="minorHAnsi"/>
                <w:sz w:val="24"/>
                <w:szCs w:val="24"/>
              </w:rPr>
            </w:pPr>
          </w:p>
          <w:p w14:paraId="1E8276FA" w14:textId="0C2B4D9B"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0E1B1470" w14:textId="77777777" w:rsidR="00240C39" w:rsidRPr="00601F23" w:rsidRDefault="00240C39" w:rsidP="00240C39">
            <w:pPr>
              <w:spacing w:after="0" w:line="276" w:lineRule="auto"/>
              <w:rPr>
                <w:rFonts w:eastAsia="Calibri" w:cstheme="minorHAnsi"/>
                <w:iCs/>
                <w:sz w:val="24"/>
                <w:szCs w:val="24"/>
              </w:rPr>
            </w:pPr>
            <w:r w:rsidRPr="00601F23">
              <w:rPr>
                <w:rFonts w:cstheme="minorHAnsi"/>
                <w:sz w:val="24"/>
                <w:szCs w:val="24"/>
              </w:rPr>
              <w:t>Kryterium bezwzględne (0/1)</w:t>
            </w:r>
          </w:p>
        </w:tc>
      </w:tr>
      <w:tr w:rsidR="00240C39" w:rsidRPr="00601F23" w14:paraId="1D408779" w14:textId="5CEAC8D4" w:rsidTr="00FE3E2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3712ED5" w14:textId="6630D449"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t>12.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81E85EF" w14:textId="77777777"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930" w:type="dxa"/>
            <w:tcBorders>
              <w:top w:val="single" w:sz="4" w:space="0" w:color="92D050"/>
              <w:left w:val="single" w:sz="4" w:space="0" w:color="92D050"/>
              <w:bottom w:val="single" w:sz="4" w:space="0" w:color="92D050"/>
              <w:right w:val="single" w:sz="4" w:space="0" w:color="92D050"/>
            </w:tcBorders>
            <w:vAlign w:val="center"/>
          </w:tcPr>
          <w:p w14:paraId="0604F287" w14:textId="77777777"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 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06D8CA36" w14:textId="77777777" w:rsidR="00240C39" w:rsidRPr="00601F23" w:rsidRDefault="00240C39" w:rsidP="00240C39">
            <w:pPr>
              <w:spacing w:after="0" w:line="276" w:lineRule="auto"/>
              <w:rPr>
                <w:rFonts w:eastAsia="Calibri" w:cstheme="minorHAnsi"/>
                <w:sz w:val="24"/>
                <w:szCs w:val="24"/>
              </w:rPr>
            </w:pPr>
          </w:p>
          <w:p w14:paraId="45D230B1" w14:textId="744CFACA"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2BA2BD2F" w14:textId="77777777" w:rsidR="00240C39" w:rsidRPr="00601F23" w:rsidRDefault="00240C39" w:rsidP="00240C39">
            <w:pPr>
              <w:spacing w:after="0" w:line="276" w:lineRule="auto"/>
              <w:rPr>
                <w:rFonts w:eastAsia="Calibri" w:cstheme="minorHAnsi"/>
                <w:sz w:val="24"/>
                <w:szCs w:val="24"/>
              </w:rPr>
            </w:pPr>
            <w:r w:rsidRPr="00601F23">
              <w:rPr>
                <w:rFonts w:cstheme="minorHAnsi"/>
                <w:sz w:val="24"/>
                <w:szCs w:val="24"/>
              </w:rPr>
              <w:t>Kryterium bezwzględne (0/1)</w:t>
            </w:r>
          </w:p>
        </w:tc>
      </w:tr>
    </w:tbl>
    <w:p w14:paraId="4F99E6CD" w14:textId="77777777" w:rsidR="00C16980" w:rsidRPr="00601F23" w:rsidRDefault="00C16980" w:rsidP="00601F23">
      <w:pPr>
        <w:spacing w:after="200" w:line="276" w:lineRule="auto"/>
        <w:rPr>
          <w:rFonts w:eastAsia="Calibri" w:cstheme="minorHAnsi"/>
          <w:b/>
          <w:color w:val="000099"/>
          <w:sz w:val="24"/>
          <w:szCs w:val="24"/>
        </w:rPr>
      </w:pPr>
    </w:p>
    <w:sectPr w:rsidR="00C16980" w:rsidRPr="00601F23" w:rsidSect="009C6933">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2BA5" w14:textId="77777777" w:rsidR="00AC49C2" w:rsidRDefault="00AC49C2" w:rsidP="009C6933">
      <w:pPr>
        <w:spacing w:after="0" w:line="240" w:lineRule="auto"/>
      </w:pPr>
      <w:r>
        <w:separator/>
      </w:r>
    </w:p>
  </w:endnote>
  <w:endnote w:type="continuationSeparator" w:id="0">
    <w:p w14:paraId="17728CA5" w14:textId="77777777" w:rsidR="00AC49C2" w:rsidRDefault="00AC49C2" w:rsidP="009C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059435"/>
      <w:docPartObj>
        <w:docPartGallery w:val="Page Numbers (Bottom of Page)"/>
        <w:docPartUnique/>
      </w:docPartObj>
    </w:sdtPr>
    <w:sdtEndPr/>
    <w:sdtContent>
      <w:p w14:paraId="6B18D05C" w14:textId="77777777" w:rsidR="009C6933" w:rsidRDefault="00D626CB">
        <w:pPr>
          <w:pStyle w:val="Stopka"/>
          <w:jc w:val="center"/>
        </w:pPr>
        <w:r>
          <w:fldChar w:fldCharType="begin"/>
        </w:r>
        <w:r w:rsidR="009C6933">
          <w:instrText>PAGE   \* MERGEFORMAT</w:instrText>
        </w:r>
        <w:r>
          <w:fldChar w:fldCharType="separate"/>
        </w:r>
        <w:r w:rsidR="00C52777">
          <w:rPr>
            <w:noProof/>
          </w:rPr>
          <w:t>2</w:t>
        </w:r>
        <w:r>
          <w:fldChar w:fldCharType="end"/>
        </w:r>
      </w:p>
    </w:sdtContent>
  </w:sdt>
  <w:p w14:paraId="31FE5338" w14:textId="77777777" w:rsidR="009C6933" w:rsidRDefault="009C69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C691" w14:textId="77777777" w:rsidR="00AC49C2" w:rsidRDefault="00AC49C2" w:rsidP="009C6933">
      <w:pPr>
        <w:spacing w:after="0" w:line="240" w:lineRule="auto"/>
      </w:pPr>
      <w:r>
        <w:separator/>
      </w:r>
    </w:p>
  </w:footnote>
  <w:footnote w:type="continuationSeparator" w:id="0">
    <w:p w14:paraId="187C4FF3" w14:textId="77777777" w:rsidR="00AC49C2" w:rsidRDefault="00AC49C2" w:rsidP="009C6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1A5318"/>
    <w:multiLevelType w:val="hybridMultilevel"/>
    <w:tmpl w:val="F842B764"/>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9288490">
    <w:abstractNumId w:val="2"/>
  </w:num>
  <w:num w:numId="2" w16cid:durableId="1349139851">
    <w:abstractNumId w:val="0"/>
  </w:num>
  <w:num w:numId="3" w16cid:durableId="16274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80"/>
    <w:rsid w:val="00003468"/>
    <w:rsid w:val="00017EF4"/>
    <w:rsid w:val="000504E8"/>
    <w:rsid w:val="00053D1A"/>
    <w:rsid w:val="00077809"/>
    <w:rsid w:val="000B249A"/>
    <w:rsid w:val="000B77EB"/>
    <w:rsid w:val="000C03E9"/>
    <w:rsid w:val="000D7DD3"/>
    <w:rsid w:val="000E5A8C"/>
    <w:rsid w:val="00106BE8"/>
    <w:rsid w:val="00107FCC"/>
    <w:rsid w:val="0012751D"/>
    <w:rsid w:val="0012754C"/>
    <w:rsid w:val="00127639"/>
    <w:rsid w:val="00137FBB"/>
    <w:rsid w:val="00146744"/>
    <w:rsid w:val="00171ADC"/>
    <w:rsid w:val="00172D8F"/>
    <w:rsid w:val="001A405E"/>
    <w:rsid w:val="00210302"/>
    <w:rsid w:val="00240C39"/>
    <w:rsid w:val="00256AD1"/>
    <w:rsid w:val="00264860"/>
    <w:rsid w:val="00265D66"/>
    <w:rsid w:val="002672B0"/>
    <w:rsid w:val="00287858"/>
    <w:rsid w:val="00290C78"/>
    <w:rsid w:val="00292227"/>
    <w:rsid w:val="00312C53"/>
    <w:rsid w:val="0032062D"/>
    <w:rsid w:val="00345C08"/>
    <w:rsid w:val="003F29A1"/>
    <w:rsid w:val="00425F6A"/>
    <w:rsid w:val="00434B65"/>
    <w:rsid w:val="00484035"/>
    <w:rsid w:val="004A589D"/>
    <w:rsid w:val="004B7AF7"/>
    <w:rsid w:val="004E1937"/>
    <w:rsid w:val="004E3BDA"/>
    <w:rsid w:val="00516309"/>
    <w:rsid w:val="00540172"/>
    <w:rsid w:val="00543664"/>
    <w:rsid w:val="005444A7"/>
    <w:rsid w:val="00555D54"/>
    <w:rsid w:val="0056327E"/>
    <w:rsid w:val="005A7F58"/>
    <w:rsid w:val="00601F23"/>
    <w:rsid w:val="006150C2"/>
    <w:rsid w:val="00626CC8"/>
    <w:rsid w:val="00646611"/>
    <w:rsid w:val="006B1E97"/>
    <w:rsid w:val="0073121F"/>
    <w:rsid w:val="00751B50"/>
    <w:rsid w:val="00755664"/>
    <w:rsid w:val="0077109B"/>
    <w:rsid w:val="007F1A48"/>
    <w:rsid w:val="008974B1"/>
    <w:rsid w:val="008A594C"/>
    <w:rsid w:val="008F0EEE"/>
    <w:rsid w:val="00966431"/>
    <w:rsid w:val="009C1CAE"/>
    <w:rsid w:val="009C6933"/>
    <w:rsid w:val="009E6C9E"/>
    <w:rsid w:val="00A45ABA"/>
    <w:rsid w:val="00A71949"/>
    <w:rsid w:val="00AC49C2"/>
    <w:rsid w:val="00B21F38"/>
    <w:rsid w:val="00B24631"/>
    <w:rsid w:val="00B67D65"/>
    <w:rsid w:val="00B73AF1"/>
    <w:rsid w:val="00B9330C"/>
    <w:rsid w:val="00BA7F55"/>
    <w:rsid w:val="00BC37D4"/>
    <w:rsid w:val="00BD0D1B"/>
    <w:rsid w:val="00BE1B15"/>
    <w:rsid w:val="00BE5B3B"/>
    <w:rsid w:val="00BF4B4B"/>
    <w:rsid w:val="00C03CE1"/>
    <w:rsid w:val="00C06F4F"/>
    <w:rsid w:val="00C16980"/>
    <w:rsid w:val="00C52777"/>
    <w:rsid w:val="00CA5F7C"/>
    <w:rsid w:val="00CD71BF"/>
    <w:rsid w:val="00D04586"/>
    <w:rsid w:val="00D60B7E"/>
    <w:rsid w:val="00D626CB"/>
    <w:rsid w:val="00E02407"/>
    <w:rsid w:val="00E06EC3"/>
    <w:rsid w:val="00E2362C"/>
    <w:rsid w:val="00E53F93"/>
    <w:rsid w:val="00E627AE"/>
    <w:rsid w:val="00EE73A9"/>
    <w:rsid w:val="00F009BB"/>
    <w:rsid w:val="00F42536"/>
    <w:rsid w:val="00F578DF"/>
    <w:rsid w:val="00F65354"/>
    <w:rsid w:val="00F70337"/>
    <w:rsid w:val="00FB5802"/>
    <w:rsid w:val="00FE3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1460"/>
  <w15:docId w15:val="{A7C57A0D-0093-474C-9FFC-AA0A310A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9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
    <w:basedOn w:val="Normalny"/>
    <w:uiPriority w:val="34"/>
    <w:qFormat/>
    <w:rsid w:val="00C03CE1"/>
    <w:pPr>
      <w:ind w:left="720"/>
      <w:contextualSpacing/>
    </w:pPr>
  </w:style>
  <w:style w:type="paragraph" w:styleId="Nagwek">
    <w:name w:val="header"/>
    <w:basedOn w:val="Normalny"/>
    <w:link w:val="NagwekZnak"/>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92232">
      <w:bodyDiv w:val="1"/>
      <w:marLeft w:val="0"/>
      <w:marRight w:val="0"/>
      <w:marTop w:val="0"/>
      <w:marBottom w:val="0"/>
      <w:divBdr>
        <w:top w:val="none" w:sz="0" w:space="0" w:color="auto"/>
        <w:left w:val="none" w:sz="0" w:space="0" w:color="auto"/>
        <w:bottom w:val="none" w:sz="0" w:space="0" w:color="auto"/>
        <w:right w:val="none" w:sz="0" w:space="0" w:color="auto"/>
      </w:divBdr>
    </w:div>
    <w:div w:id="1152869776">
      <w:bodyDiv w:val="1"/>
      <w:marLeft w:val="0"/>
      <w:marRight w:val="0"/>
      <w:marTop w:val="0"/>
      <w:marBottom w:val="0"/>
      <w:divBdr>
        <w:top w:val="none" w:sz="0" w:space="0" w:color="auto"/>
        <w:left w:val="none" w:sz="0" w:space="0" w:color="auto"/>
        <w:bottom w:val="none" w:sz="0" w:space="0" w:color="auto"/>
        <w:right w:val="none" w:sz="0" w:space="0" w:color="auto"/>
      </w:divBdr>
    </w:div>
    <w:div w:id="1298098774">
      <w:bodyDiv w:val="1"/>
      <w:marLeft w:val="0"/>
      <w:marRight w:val="0"/>
      <w:marTop w:val="0"/>
      <w:marBottom w:val="0"/>
      <w:divBdr>
        <w:top w:val="none" w:sz="0" w:space="0" w:color="auto"/>
        <w:left w:val="none" w:sz="0" w:space="0" w:color="auto"/>
        <w:bottom w:val="none" w:sz="0" w:space="0" w:color="auto"/>
        <w:right w:val="none" w:sz="0" w:space="0" w:color="auto"/>
      </w:divBdr>
    </w:div>
    <w:div w:id="15708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8906-4D86-453C-B1BD-ABED73D1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1528</Words>
  <Characters>9174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ANETA NOWOBILSKA</cp:lastModifiedBy>
  <cp:revision>8</cp:revision>
  <cp:lastPrinted>2023-03-01T14:22:00Z</cp:lastPrinted>
  <dcterms:created xsi:type="dcterms:W3CDTF">2025-04-24T06:05:00Z</dcterms:created>
  <dcterms:modified xsi:type="dcterms:W3CDTF">2025-06-05T12:09:00Z</dcterms:modified>
</cp:coreProperties>
</file>