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72FCA538" w14:textId="77777777" w:rsidR="00FB7C2D" w:rsidRDefault="00FB7C2D" w:rsidP="00FB7C2D">
      <w:pPr>
        <w:tabs>
          <w:tab w:val="center" w:pos="4536"/>
          <w:tab w:val="right" w:pos="9072"/>
        </w:tabs>
        <w:spacing w:after="0" w:line="240" w:lineRule="auto"/>
        <w:ind w:left="1276" w:hanging="1134"/>
        <w:jc w:val="both"/>
        <w:rPr>
          <w:rFonts w:cs="Calibri"/>
          <w:sz w:val="20"/>
          <w:szCs w:val="20"/>
        </w:rPr>
      </w:pPr>
    </w:p>
    <w:p w14:paraId="260D6EC6" w14:textId="25742002" w:rsidR="00FB7C2D" w:rsidRPr="00FB7C2D" w:rsidRDefault="00FB7C2D" w:rsidP="00690893">
      <w:pPr>
        <w:tabs>
          <w:tab w:val="center" w:pos="4536"/>
          <w:tab w:val="right" w:pos="9072"/>
        </w:tabs>
        <w:spacing w:after="0" w:line="240" w:lineRule="auto"/>
        <w:jc w:val="both"/>
        <w:rPr>
          <w:rFonts w:cs="Calibri"/>
          <w:sz w:val="20"/>
          <w:szCs w:val="20"/>
        </w:rPr>
      </w:pPr>
      <w:r w:rsidRPr="00FB7C2D">
        <w:rPr>
          <w:rFonts w:cs="Calibri"/>
          <w:sz w:val="20"/>
          <w:szCs w:val="20"/>
        </w:rPr>
        <w:t xml:space="preserve">Załącznik do Uchwały </w:t>
      </w:r>
    </w:p>
    <w:p w14:paraId="6C5F61D7" w14:textId="2258FDB3" w:rsidR="00FB7C2D" w:rsidRPr="00FB7C2D" w:rsidRDefault="00FB7C2D" w:rsidP="00690893">
      <w:pPr>
        <w:tabs>
          <w:tab w:val="center" w:pos="4536"/>
          <w:tab w:val="right" w:pos="9072"/>
        </w:tabs>
        <w:spacing w:after="0" w:line="240" w:lineRule="auto"/>
        <w:jc w:val="both"/>
        <w:rPr>
          <w:rFonts w:cs="Calibri"/>
          <w:sz w:val="20"/>
          <w:szCs w:val="20"/>
        </w:rPr>
      </w:pPr>
      <w:r w:rsidRPr="00FB7C2D">
        <w:rPr>
          <w:rFonts w:cs="Calibri"/>
          <w:sz w:val="20"/>
          <w:szCs w:val="20"/>
        </w:rPr>
        <w:t>Nr</w:t>
      </w:r>
      <w:r w:rsidR="00DF079C">
        <w:rPr>
          <w:rFonts w:cs="Calibri"/>
          <w:sz w:val="20"/>
          <w:szCs w:val="20"/>
        </w:rPr>
        <w:t xml:space="preserve"> 134</w:t>
      </w:r>
      <w:r w:rsidRPr="00FB7C2D">
        <w:rPr>
          <w:rFonts w:cs="Calibri"/>
          <w:sz w:val="20"/>
          <w:szCs w:val="20"/>
        </w:rPr>
        <w:t>/202</w:t>
      </w:r>
      <w:r>
        <w:rPr>
          <w:rFonts w:cs="Calibri"/>
          <w:sz w:val="20"/>
          <w:szCs w:val="20"/>
        </w:rPr>
        <w:t>5</w:t>
      </w:r>
      <w:r w:rsidRPr="00FB7C2D">
        <w:rPr>
          <w:rFonts w:cs="Calibri"/>
          <w:sz w:val="20"/>
          <w:szCs w:val="20"/>
        </w:rPr>
        <w:t xml:space="preserve"> KM FEO 2021-2027</w:t>
      </w:r>
    </w:p>
    <w:p w14:paraId="223972FD" w14:textId="12280C7F" w:rsidR="00FB7C2D" w:rsidRPr="00FB7C2D" w:rsidRDefault="00FB7C2D" w:rsidP="00690893">
      <w:pPr>
        <w:tabs>
          <w:tab w:val="center" w:pos="4536"/>
          <w:tab w:val="right" w:pos="9072"/>
        </w:tabs>
        <w:spacing w:after="0" w:line="240" w:lineRule="auto"/>
        <w:jc w:val="both"/>
        <w:rPr>
          <w:rFonts w:cs="Calibri"/>
          <w:sz w:val="20"/>
          <w:szCs w:val="20"/>
        </w:rPr>
      </w:pPr>
      <w:r w:rsidRPr="00FB7C2D">
        <w:rPr>
          <w:rFonts w:cs="Calibri"/>
          <w:sz w:val="20"/>
          <w:szCs w:val="20"/>
        </w:rPr>
        <w:t xml:space="preserve">z dnia </w:t>
      </w:r>
      <w:r>
        <w:rPr>
          <w:rFonts w:cs="Calibri"/>
          <w:sz w:val="20"/>
          <w:szCs w:val="20"/>
        </w:rPr>
        <w:t>30 maja</w:t>
      </w:r>
      <w:r w:rsidRPr="00FB7C2D">
        <w:rPr>
          <w:rFonts w:cs="Calibri"/>
          <w:sz w:val="20"/>
          <w:szCs w:val="20"/>
        </w:rPr>
        <w:t xml:space="preserve"> 202</w:t>
      </w:r>
      <w:r>
        <w:rPr>
          <w:rFonts w:cs="Calibri"/>
          <w:sz w:val="20"/>
          <w:szCs w:val="20"/>
        </w:rPr>
        <w:t>5</w:t>
      </w:r>
      <w:r w:rsidRPr="00FB7C2D">
        <w:rPr>
          <w:rFonts w:cs="Calibri"/>
          <w:sz w:val="20"/>
          <w:szCs w:val="20"/>
        </w:rPr>
        <w:t xml:space="preserve"> r.</w:t>
      </w:r>
    </w:p>
    <w:p w14:paraId="004F9738" w14:textId="77777777" w:rsidR="00893CF0" w:rsidRDefault="00893CF0" w:rsidP="000167EE">
      <w:pPr>
        <w:rPr>
          <w:b/>
          <w:color w:val="000099"/>
          <w:sz w:val="36"/>
          <w:szCs w:val="36"/>
        </w:rPr>
      </w:pPr>
    </w:p>
    <w:p w14:paraId="3B0D6CEC" w14:textId="0FF02803" w:rsidR="000167EE" w:rsidRPr="00AE1D48" w:rsidRDefault="000167EE" w:rsidP="000167EE">
      <w:pPr>
        <w:rPr>
          <w:b/>
          <w:color w:val="FF0000"/>
          <w:sz w:val="36"/>
          <w:szCs w:val="36"/>
        </w:rPr>
      </w:pPr>
      <w:r w:rsidRPr="001015B8">
        <w:rPr>
          <w:b/>
          <w:color w:val="000099"/>
          <w:sz w:val="36"/>
          <w:szCs w:val="36"/>
        </w:rPr>
        <w:t xml:space="preserve">KRYTERIA </w:t>
      </w:r>
      <w:r w:rsidRPr="001015B8">
        <w:rPr>
          <w:b/>
          <w:color w:val="000099"/>
          <w:sz w:val="36"/>
          <w:szCs w:val="36"/>
          <w:u w:val="single"/>
        </w:rPr>
        <w:t>FORMALNE</w:t>
      </w:r>
      <w:r w:rsidRPr="001015B8">
        <w:rPr>
          <w:b/>
          <w:color w:val="000099"/>
          <w:sz w:val="36"/>
          <w:szCs w:val="36"/>
        </w:rPr>
        <w:t xml:space="preserve"> </w:t>
      </w:r>
      <w:r w:rsidR="0043117A">
        <w:rPr>
          <w:b/>
          <w:color w:val="000099"/>
          <w:sz w:val="36"/>
          <w:szCs w:val="36"/>
        </w:rPr>
        <w:t xml:space="preserve">- </w:t>
      </w:r>
      <w:r w:rsidR="0043117A">
        <w:rPr>
          <w:b/>
          <w:color w:val="FF0000"/>
          <w:sz w:val="36"/>
          <w:szCs w:val="36"/>
        </w:rPr>
        <w:t>AKTUALIZACJA</w:t>
      </w:r>
    </w:p>
    <w:p w14:paraId="0D18773D" w14:textId="77777777" w:rsidR="000167EE" w:rsidRPr="001015B8" w:rsidRDefault="000167EE" w:rsidP="000167EE">
      <w:pPr>
        <w:rPr>
          <w:b/>
          <w:color w:val="000099"/>
          <w:sz w:val="36"/>
          <w:szCs w:val="36"/>
        </w:rPr>
      </w:pPr>
    </w:p>
    <w:p w14:paraId="7EA31DB9" w14:textId="77777777" w:rsidR="000167EE" w:rsidRDefault="000167EE" w:rsidP="000167EE">
      <w:pPr>
        <w:rPr>
          <w:b/>
          <w:color w:val="000099"/>
          <w:sz w:val="36"/>
          <w:szCs w:val="36"/>
        </w:rPr>
      </w:pPr>
      <w:r w:rsidRPr="001015B8">
        <w:rPr>
          <w:b/>
          <w:color w:val="000099"/>
          <w:sz w:val="36"/>
          <w:szCs w:val="36"/>
        </w:rPr>
        <w:t xml:space="preserve">DLA WSZYSTKICH </w:t>
      </w:r>
      <w:r>
        <w:rPr>
          <w:b/>
          <w:color w:val="000099"/>
          <w:sz w:val="36"/>
          <w:szCs w:val="36"/>
        </w:rPr>
        <w:t xml:space="preserve">DZIAŁAŃ </w:t>
      </w:r>
      <w:r w:rsidR="00DA3F9D">
        <w:rPr>
          <w:b/>
          <w:color w:val="000099"/>
          <w:sz w:val="36"/>
          <w:szCs w:val="36"/>
        </w:rPr>
        <w:t>FEO</w:t>
      </w:r>
      <w:r>
        <w:rPr>
          <w:b/>
          <w:color w:val="000099"/>
          <w:sz w:val="36"/>
          <w:szCs w:val="36"/>
        </w:rPr>
        <w:t xml:space="preserve"> 2021-2027</w:t>
      </w:r>
      <w:r w:rsidRPr="001015B8">
        <w:rPr>
          <w:b/>
          <w:color w:val="000099"/>
          <w:sz w:val="36"/>
          <w:szCs w:val="36"/>
        </w:rPr>
        <w:t xml:space="preserve"> </w:t>
      </w:r>
    </w:p>
    <w:p w14:paraId="52B835BF" w14:textId="77777777" w:rsidR="000167EE" w:rsidRDefault="000167EE" w:rsidP="000167EE">
      <w:pPr>
        <w:rPr>
          <w:b/>
          <w:color w:val="000099"/>
          <w:sz w:val="36"/>
          <w:szCs w:val="36"/>
        </w:rPr>
      </w:pPr>
      <w:r>
        <w:rPr>
          <w:b/>
          <w:color w:val="000099"/>
          <w:sz w:val="36"/>
          <w:szCs w:val="36"/>
        </w:rPr>
        <w:t>(z wyłączeniem działań wdrażanych przez instrumenty finansowe)</w:t>
      </w:r>
    </w:p>
    <w:p w14:paraId="7FF2BDD2" w14:textId="77777777" w:rsidR="00745059" w:rsidRDefault="00745059" w:rsidP="000167EE">
      <w:pPr>
        <w:rPr>
          <w:b/>
          <w:color w:val="000099"/>
          <w:sz w:val="36"/>
          <w:szCs w:val="36"/>
        </w:rPr>
      </w:pPr>
      <w:r>
        <w:rPr>
          <w:b/>
          <w:color w:val="000099"/>
          <w:sz w:val="36"/>
          <w:szCs w:val="36"/>
        </w:rPr>
        <w:t>Zakres: Europejski Fundusz Rozwoju Regionalnego</w:t>
      </w:r>
    </w:p>
    <w:p w14:paraId="1E690E89" w14:textId="77777777" w:rsidR="00745059" w:rsidRDefault="00745059" w:rsidP="000167EE">
      <w:pPr>
        <w:rPr>
          <w:b/>
          <w:color w:val="000099"/>
          <w:sz w:val="36"/>
          <w:szCs w:val="36"/>
        </w:rPr>
      </w:pPr>
    </w:p>
    <w:p w14:paraId="3F5F7151" w14:textId="7EF4836F" w:rsidR="000167EE" w:rsidRPr="00745059" w:rsidRDefault="00745059" w:rsidP="000167EE">
      <w:pPr>
        <w:rPr>
          <w:b/>
          <w:color w:val="000099"/>
          <w:sz w:val="36"/>
          <w:szCs w:val="36"/>
        </w:rPr>
      </w:pPr>
      <w:r>
        <w:rPr>
          <w:b/>
          <w:color w:val="000099"/>
          <w:sz w:val="36"/>
          <w:szCs w:val="36"/>
        </w:rPr>
        <w:t xml:space="preserve">Opole, </w:t>
      </w:r>
      <w:r w:rsidR="00AE1D48">
        <w:rPr>
          <w:b/>
          <w:color w:val="000099"/>
          <w:sz w:val="36"/>
          <w:szCs w:val="36"/>
        </w:rPr>
        <w:t xml:space="preserve">2025 </w:t>
      </w:r>
      <w:r>
        <w:rPr>
          <w:b/>
          <w:color w:val="000099"/>
          <w:sz w:val="36"/>
          <w:szCs w:val="36"/>
        </w:rPr>
        <w:t>r.</w:t>
      </w:r>
    </w:p>
    <w:p w14:paraId="4B8AF835" w14:textId="77777777" w:rsidR="000167EE" w:rsidRDefault="000167EE" w:rsidP="000167EE">
      <w:pPr>
        <w:rPr>
          <w:b/>
          <w:color w:val="000099"/>
          <w:sz w:val="24"/>
        </w:rPr>
      </w:pP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689"/>
        <w:gridCol w:w="2715"/>
        <w:gridCol w:w="8363"/>
        <w:gridCol w:w="3400"/>
      </w:tblGrid>
      <w:tr w:rsidR="00976246" w:rsidRPr="00AE1D48" w14:paraId="6F3F97A8" w14:textId="44CADD0A" w:rsidTr="00976246">
        <w:trPr>
          <w:trHeight w:val="509"/>
          <w:tblHeader/>
        </w:trPr>
        <w:tc>
          <w:tcPr>
            <w:tcW w:w="227" w:type="pct"/>
            <w:shd w:val="clear" w:color="auto" w:fill="D9D9D9"/>
            <w:noWrap/>
            <w:vAlign w:val="center"/>
          </w:tcPr>
          <w:p w14:paraId="524894FB" w14:textId="77777777" w:rsidR="00976246" w:rsidRPr="00AE1D48" w:rsidRDefault="00976246" w:rsidP="005C1BBF">
            <w:pPr>
              <w:spacing w:after="0"/>
              <w:jc w:val="center"/>
              <w:rPr>
                <w:b/>
                <w:bCs/>
                <w:color w:val="000099"/>
              </w:rPr>
            </w:pPr>
            <w:r w:rsidRPr="00AE1D48">
              <w:rPr>
                <w:b/>
                <w:bCs/>
                <w:color w:val="000099"/>
              </w:rPr>
              <w:lastRenderedPageBreak/>
              <w:t>lp.</w:t>
            </w:r>
          </w:p>
        </w:tc>
        <w:tc>
          <w:tcPr>
            <w:tcW w:w="895" w:type="pct"/>
            <w:shd w:val="clear" w:color="auto" w:fill="D9D9D9"/>
            <w:noWrap/>
            <w:vAlign w:val="center"/>
          </w:tcPr>
          <w:p w14:paraId="45885480" w14:textId="77777777" w:rsidR="00976246" w:rsidRPr="00AE1D48" w:rsidRDefault="00976246" w:rsidP="005C1BBF">
            <w:pPr>
              <w:spacing w:after="0"/>
              <w:jc w:val="center"/>
              <w:rPr>
                <w:b/>
                <w:bCs/>
                <w:color w:val="000099"/>
              </w:rPr>
            </w:pPr>
            <w:r w:rsidRPr="00AE1D48">
              <w:rPr>
                <w:b/>
                <w:bCs/>
                <w:color w:val="000099"/>
              </w:rPr>
              <w:t>Nazwa kryterium</w:t>
            </w:r>
          </w:p>
        </w:tc>
        <w:tc>
          <w:tcPr>
            <w:tcW w:w="2757" w:type="pct"/>
            <w:shd w:val="clear" w:color="auto" w:fill="D9D9D9"/>
            <w:vAlign w:val="center"/>
          </w:tcPr>
          <w:p w14:paraId="1A1E7AE2" w14:textId="77777777" w:rsidR="00976246" w:rsidRPr="00AE1D48" w:rsidRDefault="00976246" w:rsidP="005C1BBF">
            <w:pPr>
              <w:spacing w:after="0"/>
              <w:jc w:val="center"/>
              <w:rPr>
                <w:b/>
                <w:bCs/>
                <w:color w:val="000099"/>
              </w:rPr>
            </w:pPr>
            <w:r w:rsidRPr="00AE1D48">
              <w:rPr>
                <w:b/>
                <w:bCs/>
                <w:color w:val="000099"/>
              </w:rPr>
              <w:t>Definicja</w:t>
            </w:r>
          </w:p>
        </w:tc>
        <w:tc>
          <w:tcPr>
            <w:tcW w:w="1121" w:type="pct"/>
            <w:shd w:val="clear" w:color="auto" w:fill="D9D9D9"/>
            <w:vAlign w:val="center"/>
          </w:tcPr>
          <w:p w14:paraId="1E5CF56A" w14:textId="77777777" w:rsidR="00976246" w:rsidRPr="00AE1D48" w:rsidRDefault="00976246" w:rsidP="005C1BBF">
            <w:pPr>
              <w:spacing w:after="0"/>
              <w:jc w:val="center"/>
              <w:rPr>
                <w:b/>
                <w:bCs/>
                <w:color w:val="000099"/>
              </w:rPr>
            </w:pPr>
            <w:r w:rsidRPr="00AE1D48">
              <w:rPr>
                <w:b/>
                <w:bCs/>
                <w:color w:val="000099"/>
              </w:rPr>
              <w:t>Opis znaczenia kryterium</w:t>
            </w:r>
          </w:p>
        </w:tc>
      </w:tr>
      <w:tr w:rsidR="00976246" w:rsidRPr="00AE1D48" w14:paraId="268EE08E" w14:textId="3A04C443" w:rsidTr="00976246">
        <w:trPr>
          <w:trHeight w:val="194"/>
          <w:tblHeader/>
        </w:trPr>
        <w:tc>
          <w:tcPr>
            <w:tcW w:w="227" w:type="pct"/>
            <w:shd w:val="clear" w:color="auto" w:fill="F2F2F2"/>
            <w:noWrap/>
            <w:vAlign w:val="bottom"/>
          </w:tcPr>
          <w:p w14:paraId="75A9F20D" w14:textId="77777777" w:rsidR="00976246" w:rsidRPr="00AE1D48" w:rsidRDefault="00976246" w:rsidP="005C1BBF">
            <w:pPr>
              <w:spacing w:after="0"/>
              <w:jc w:val="center"/>
              <w:rPr>
                <w:bCs/>
                <w:i/>
                <w:color w:val="000099"/>
                <w:sz w:val="20"/>
                <w:szCs w:val="20"/>
              </w:rPr>
            </w:pPr>
            <w:r w:rsidRPr="00AE1D48">
              <w:rPr>
                <w:bCs/>
                <w:i/>
                <w:color w:val="000099"/>
                <w:sz w:val="20"/>
                <w:szCs w:val="20"/>
              </w:rPr>
              <w:t>1</w:t>
            </w:r>
          </w:p>
        </w:tc>
        <w:tc>
          <w:tcPr>
            <w:tcW w:w="895" w:type="pct"/>
            <w:shd w:val="clear" w:color="auto" w:fill="F2F2F2"/>
            <w:noWrap/>
            <w:vAlign w:val="bottom"/>
          </w:tcPr>
          <w:p w14:paraId="13B7DDD4" w14:textId="77777777" w:rsidR="00976246" w:rsidRPr="00AE1D48" w:rsidRDefault="00976246" w:rsidP="005C1BBF">
            <w:pPr>
              <w:spacing w:after="0"/>
              <w:jc w:val="center"/>
              <w:rPr>
                <w:bCs/>
                <w:i/>
                <w:color w:val="000099"/>
                <w:sz w:val="20"/>
                <w:szCs w:val="20"/>
              </w:rPr>
            </w:pPr>
            <w:r w:rsidRPr="00AE1D48">
              <w:rPr>
                <w:bCs/>
                <w:i/>
                <w:color w:val="000099"/>
                <w:sz w:val="20"/>
                <w:szCs w:val="20"/>
              </w:rPr>
              <w:t>2</w:t>
            </w:r>
          </w:p>
        </w:tc>
        <w:tc>
          <w:tcPr>
            <w:tcW w:w="2757" w:type="pct"/>
            <w:shd w:val="clear" w:color="auto" w:fill="F2F2F2"/>
            <w:vAlign w:val="bottom"/>
          </w:tcPr>
          <w:p w14:paraId="0FC5C04C" w14:textId="77777777" w:rsidR="00976246" w:rsidRPr="00AE1D48" w:rsidRDefault="00976246" w:rsidP="005C1BBF">
            <w:pPr>
              <w:spacing w:after="0"/>
              <w:jc w:val="center"/>
              <w:rPr>
                <w:bCs/>
                <w:i/>
                <w:color w:val="000099"/>
                <w:sz w:val="20"/>
                <w:szCs w:val="20"/>
              </w:rPr>
            </w:pPr>
            <w:r w:rsidRPr="00AE1D48">
              <w:rPr>
                <w:bCs/>
                <w:i/>
                <w:color w:val="000099"/>
                <w:sz w:val="20"/>
                <w:szCs w:val="20"/>
              </w:rPr>
              <w:t>3</w:t>
            </w:r>
          </w:p>
        </w:tc>
        <w:tc>
          <w:tcPr>
            <w:tcW w:w="1121" w:type="pct"/>
            <w:shd w:val="clear" w:color="auto" w:fill="F2F2F2"/>
          </w:tcPr>
          <w:p w14:paraId="306ED284" w14:textId="77777777" w:rsidR="00976246" w:rsidRPr="00AE1D48" w:rsidRDefault="00976246" w:rsidP="005C1BBF">
            <w:pPr>
              <w:spacing w:after="0"/>
              <w:jc w:val="center"/>
              <w:rPr>
                <w:bCs/>
                <w:i/>
                <w:color w:val="000099"/>
                <w:sz w:val="20"/>
                <w:szCs w:val="20"/>
              </w:rPr>
            </w:pPr>
            <w:r w:rsidRPr="00AE1D48">
              <w:rPr>
                <w:bCs/>
                <w:i/>
                <w:color w:val="000099"/>
                <w:sz w:val="20"/>
                <w:szCs w:val="20"/>
              </w:rPr>
              <w:t>4</w:t>
            </w:r>
          </w:p>
        </w:tc>
      </w:tr>
      <w:tr w:rsidR="00976246" w:rsidRPr="00AE1D48" w14:paraId="08172F7D" w14:textId="25751C7B" w:rsidTr="00976246">
        <w:trPr>
          <w:trHeight w:val="644"/>
        </w:trPr>
        <w:tc>
          <w:tcPr>
            <w:tcW w:w="227" w:type="pct"/>
            <w:noWrap/>
            <w:vAlign w:val="center"/>
          </w:tcPr>
          <w:p w14:paraId="52496FD1"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1.</w:t>
            </w:r>
          </w:p>
        </w:tc>
        <w:tc>
          <w:tcPr>
            <w:tcW w:w="895" w:type="pct"/>
            <w:vAlign w:val="center"/>
          </w:tcPr>
          <w:p w14:paraId="665382A9"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złożony w ramach właściwego działania oraz naboru</w:t>
            </w:r>
          </w:p>
        </w:tc>
        <w:tc>
          <w:tcPr>
            <w:tcW w:w="2757" w:type="pct"/>
            <w:vAlign w:val="center"/>
          </w:tcPr>
          <w:p w14:paraId="2CC87027" w14:textId="19BFE748"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20834B15" w14:textId="77777777" w:rsidR="00976246" w:rsidRPr="00AE1D48" w:rsidRDefault="00976246" w:rsidP="005C1BBF">
            <w:pPr>
              <w:spacing w:after="0" w:line="240" w:lineRule="auto"/>
              <w:rPr>
                <w:rFonts w:asciiTheme="minorHAnsi" w:hAnsiTheme="minorHAnsi" w:cstheme="minorHAnsi"/>
                <w:sz w:val="24"/>
                <w:szCs w:val="24"/>
              </w:rPr>
            </w:pPr>
          </w:p>
          <w:p w14:paraId="67E41FF8" w14:textId="60A9D26D"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r>
              <w:rPr>
                <w:rFonts w:asciiTheme="minorHAnsi" w:hAnsiTheme="minorHAnsi" w:cstheme="minorHAnsi"/>
                <w:sz w:val="24"/>
                <w:szCs w:val="24"/>
              </w:rPr>
              <w:t xml:space="preserve"> Nie spełnienie kryterium, skutkuje negatywną oceną (projekt nie jest oceniany przez pozostałe kryteria formalne).</w:t>
            </w:r>
          </w:p>
          <w:p w14:paraId="35AB67E7" w14:textId="77777777" w:rsidR="00976246" w:rsidRPr="00AE1D48" w:rsidRDefault="00976246" w:rsidP="005C1BBF">
            <w:pPr>
              <w:spacing w:after="0" w:line="240" w:lineRule="auto"/>
              <w:rPr>
                <w:rFonts w:asciiTheme="minorHAnsi" w:hAnsiTheme="minorHAnsi" w:cstheme="minorHAnsi"/>
                <w:sz w:val="24"/>
                <w:szCs w:val="24"/>
              </w:rPr>
            </w:pPr>
          </w:p>
          <w:p w14:paraId="0BBDD799"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1121" w:type="pct"/>
            <w:vAlign w:val="center"/>
          </w:tcPr>
          <w:p w14:paraId="70D643FF" w14:textId="77777777"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bezwzględne </w:t>
            </w:r>
          </w:p>
          <w:p w14:paraId="0D04B16C" w14:textId="6F8CA4A8" w:rsidR="00976246" w:rsidRPr="00AE1D48"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dostępowe </w:t>
            </w:r>
            <w:r w:rsidRPr="00AE1D48">
              <w:rPr>
                <w:rFonts w:asciiTheme="minorHAnsi" w:hAnsiTheme="minorHAnsi" w:cstheme="minorHAnsi"/>
                <w:sz w:val="24"/>
                <w:szCs w:val="24"/>
              </w:rPr>
              <w:t>(0/1)</w:t>
            </w:r>
          </w:p>
        </w:tc>
      </w:tr>
      <w:tr w:rsidR="00976246" w:rsidRPr="00AE1D48" w14:paraId="352FBD16" w14:textId="5B0F7E65" w:rsidTr="00976246">
        <w:trPr>
          <w:trHeight w:val="644"/>
        </w:trPr>
        <w:tc>
          <w:tcPr>
            <w:tcW w:w="227" w:type="pct"/>
            <w:noWrap/>
            <w:vAlign w:val="center"/>
          </w:tcPr>
          <w:p w14:paraId="7C858B2C"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2.</w:t>
            </w:r>
          </w:p>
        </w:tc>
        <w:tc>
          <w:tcPr>
            <w:tcW w:w="895" w:type="pct"/>
            <w:vAlign w:val="center"/>
          </w:tcPr>
          <w:p w14:paraId="2A39231A"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2757" w:type="pct"/>
            <w:vAlign w:val="center"/>
          </w:tcPr>
          <w:p w14:paraId="6D0469B2" w14:textId="492FF28C"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1A9ADC59" w14:textId="77777777" w:rsidR="00976246" w:rsidRDefault="00976246" w:rsidP="005C1BBF">
            <w:pPr>
              <w:spacing w:after="0" w:line="240" w:lineRule="auto"/>
              <w:rPr>
                <w:rFonts w:asciiTheme="minorHAnsi" w:hAnsiTheme="minorHAnsi" w:cstheme="minorHAnsi"/>
                <w:sz w:val="24"/>
                <w:szCs w:val="24"/>
              </w:rPr>
            </w:pPr>
          </w:p>
          <w:p w14:paraId="2521D996" w14:textId="4F78C6B7" w:rsidR="00976246"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5DC87A89" w14:textId="77777777" w:rsidR="00976246" w:rsidRPr="00AE1D48" w:rsidRDefault="00976246" w:rsidP="005C1BBF">
            <w:pPr>
              <w:spacing w:after="0" w:line="240" w:lineRule="auto"/>
              <w:rPr>
                <w:rFonts w:asciiTheme="minorHAnsi" w:hAnsiTheme="minorHAnsi" w:cstheme="minorHAnsi"/>
                <w:sz w:val="24"/>
                <w:szCs w:val="24"/>
              </w:rPr>
            </w:pPr>
          </w:p>
          <w:p w14:paraId="5D57B5EB" w14:textId="77777777" w:rsidR="00976246" w:rsidRPr="00AE1D48" w:rsidRDefault="00976246" w:rsidP="005C1BBF">
            <w:pPr>
              <w:spacing w:after="0" w:line="240" w:lineRule="auto"/>
              <w:rPr>
                <w:rFonts w:asciiTheme="minorHAnsi" w:hAnsiTheme="minorHAnsi" w:cstheme="minorHAnsi"/>
                <w:sz w:val="24"/>
                <w:szCs w:val="24"/>
              </w:rPr>
            </w:pPr>
          </w:p>
          <w:p w14:paraId="08EAD3B6" w14:textId="676C3CDC"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3C8B0B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7995028C" w14:textId="108FA2CB" w:rsidTr="00976246">
        <w:trPr>
          <w:trHeight w:val="644"/>
        </w:trPr>
        <w:tc>
          <w:tcPr>
            <w:tcW w:w="227" w:type="pct"/>
            <w:noWrap/>
            <w:vAlign w:val="center"/>
          </w:tcPr>
          <w:p w14:paraId="0375CAB7"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3. </w:t>
            </w:r>
          </w:p>
        </w:tc>
        <w:tc>
          <w:tcPr>
            <w:tcW w:w="895" w:type="pct"/>
            <w:vAlign w:val="center"/>
          </w:tcPr>
          <w:p w14:paraId="58EE7A2A" w14:textId="3E67B0B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xml:space="preserve">, opisem działania </w:t>
            </w:r>
          </w:p>
        </w:tc>
        <w:tc>
          <w:tcPr>
            <w:tcW w:w="2757" w:type="pct"/>
            <w:vAlign w:val="center"/>
          </w:tcPr>
          <w:p w14:paraId="4FD17320" w14:textId="53BC0851"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 xml:space="preserve">em przedsięwzięcia </w:t>
            </w:r>
            <w:r w:rsidRPr="00AE1D48">
              <w:rPr>
                <w:rFonts w:asciiTheme="minorHAnsi" w:hAnsiTheme="minorHAnsi" w:cstheme="minorHAnsi"/>
                <w:sz w:val="24"/>
                <w:szCs w:val="24"/>
              </w:rPr>
              <w:t xml:space="preserve"> oraz w zakresie zgodności z opisem działania (w tym celem oraz zakresem interwencji) przewidzianym w Szczegółowym Opisie Priorytetów FEO 2021-2027 oraz w Regulaminie wyboru projektów. </w:t>
            </w:r>
          </w:p>
          <w:p w14:paraId="313A729C" w14:textId="77777777" w:rsidR="00976246" w:rsidRPr="00AE1D48" w:rsidRDefault="00976246" w:rsidP="005C1BBF">
            <w:pPr>
              <w:spacing w:after="0" w:line="240" w:lineRule="auto"/>
              <w:rPr>
                <w:rFonts w:asciiTheme="minorHAnsi" w:hAnsiTheme="minorHAnsi" w:cstheme="minorHAnsi"/>
                <w:sz w:val="24"/>
                <w:szCs w:val="24"/>
              </w:rPr>
            </w:pPr>
          </w:p>
          <w:p w14:paraId="2A4B984D" w14:textId="6F97EBB5"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11E7C58"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3A6F2ECD" w14:textId="48F09A6E" w:rsidTr="00976246">
        <w:trPr>
          <w:trHeight w:val="644"/>
        </w:trPr>
        <w:tc>
          <w:tcPr>
            <w:tcW w:w="227" w:type="pct"/>
            <w:noWrap/>
            <w:vAlign w:val="center"/>
          </w:tcPr>
          <w:p w14:paraId="648FB91B"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4.</w:t>
            </w:r>
          </w:p>
        </w:tc>
        <w:tc>
          <w:tcPr>
            <w:tcW w:w="895" w:type="pct"/>
            <w:vAlign w:val="center"/>
          </w:tcPr>
          <w:p w14:paraId="78BD3193"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0D23BC68"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2757" w:type="pct"/>
            <w:vAlign w:val="center"/>
          </w:tcPr>
          <w:p w14:paraId="2EFF99C1"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Warunkiem spełnienia kryterium jest zapewnienie zgodności projektu co najmniej w zakresie: </w:t>
            </w:r>
          </w:p>
          <w:p w14:paraId="1EBA4EE4"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nie przekroczenia pułapu maksymalnego poziomu dofinansowania; </w:t>
            </w:r>
          </w:p>
          <w:p w14:paraId="6C714922"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projektu (o ile dotyczy); </w:t>
            </w:r>
          </w:p>
          <w:p w14:paraId="510F820E" w14:textId="323A6841"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wydatków kwalifikowanych projektu  (o ile dotyczy)</w:t>
            </w:r>
            <w:r>
              <w:rPr>
                <w:rFonts w:asciiTheme="minorHAnsi" w:hAnsiTheme="minorHAnsi" w:cstheme="minorHAnsi"/>
                <w:sz w:val="24"/>
                <w:szCs w:val="24"/>
              </w:rPr>
              <w:t>;</w:t>
            </w:r>
          </w:p>
          <w:p w14:paraId="5AFD31B8" w14:textId="3BAC1AB9"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3E69497E" w14:textId="77777777" w:rsidR="00976246" w:rsidRPr="00AE1D48" w:rsidRDefault="00976246" w:rsidP="005C1BBF">
            <w:pPr>
              <w:spacing w:after="0" w:line="240" w:lineRule="auto"/>
              <w:ind w:left="720"/>
              <w:contextualSpacing/>
              <w:rPr>
                <w:rFonts w:asciiTheme="minorHAnsi" w:hAnsiTheme="minorHAnsi" w:cstheme="minorHAnsi"/>
                <w:sz w:val="24"/>
                <w:szCs w:val="24"/>
              </w:rPr>
            </w:pPr>
          </w:p>
          <w:p w14:paraId="683544F5" w14:textId="05BE55DE"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5EA3513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42DA3D5E" w14:textId="1EF7B386" w:rsidTr="00976246">
        <w:trPr>
          <w:trHeight w:val="644"/>
        </w:trPr>
        <w:tc>
          <w:tcPr>
            <w:tcW w:w="227" w:type="pct"/>
            <w:noWrap/>
            <w:vAlign w:val="center"/>
          </w:tcPr>
          <w:p w14:paraId="5663526D"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5.</w:t>
            </w:r>
          </w:p>
        </w:tc>
        <w:tc>
          <w:tcPr>
            <w:tcW w:w="895" w:type="pct"/>
            <w:vAlign w:val="center"/>
          </w:tcPr>
          <w:p w14:paraId="3B5E0547" w14:textId="38F74EC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 xml:space="preserve">o dofinansowanie </w:t>
            </w:r>
          </w:p>
          <w:p w14:paraId="20FD3AEE" w14:textId="77777777" w:rsidR="00976246" w:rsidRPr="00AE1D48" w:rsidRDefault="00976246" w:rsidP="005C1BBF">
            <w:pPr>
              <w:spacing w:after="0"/>
              <w:rPr>
                <w:rFonts w:asciiTheme="minorHAnsi" w:hAnsiTheme="minorHAnsi" w:cstheme="minorHAnsi"/>
                <w:sz w:val="24"/>
                <w:szCs w:val="24"/>
              </w:rPr>
            </w:pPr>
          </w:p>
        </w:tc>
        <w:tc>
          <w:tcPr>
            <w:tcW w:w="2757" w:type="pct"/>
            <w:vAlign w:val="center"/>
          </w:tcPr>
          <w:p w14:paraId="2DCA708A" w14:textId="2E4EE04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4A4C1AD3"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64ADEF6F"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7FC76CE8"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9 ustawy z dnia 28 października 2002 r. o odpowiedzialności podmiotów zbiorowych za czyny zabronione pod groźbą kary.</w:t>
            </w:r>
          </w:p>
          <w:p w14:paraId="20A9FC97" w14:textId="77777777" w:rsidR="00976246" w:rsidRPr="00AE1D48" w:rsidRDefault="00976246" w:rsidP="005C1BBF">
            <w:pPr>
              <w:spacing w:after="0"/>
              <w:rPr>
                <w:rFonts w:asciiTheme="minorHAnsi" w:hAnsiTheme="minorHAnsi" w:cstheme="minorHAnsi"/>
                <w:sz w:val="24"/>
                <w:szCs w:val="24"/>
              </w:rPr>
            </w:pPr>
          </w:p>
          <w:p w14:paraId="344BED85" w14:textId="71F0C75D"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5FE3D7CA"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7EBF67EF" w14:textId="77777777" w:rsidTr="00913734">
        <w:trPr>
          <w:trHeight w:val="644"/>
        </w:trPr>
        <w:tc>
          <w:tcPr>
            <w:tcW w:w="227" w:type="pct"/>
            <w:noWrap/>
            <w:vAlign w:val="center"/>
          </w:tcPr>
          <w:p w14:paraId="0A5F570A" w14:textId="4DDDAF13"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6.</w:t>
            </w:r>
          </w:p>
        </w:tc>
        <w:tc>
          <w:tcPr>
            <w:tcW w:w="895" w:type="pct"/>
            <w:vAlign w:val="center"/>
          </w:tcPr>
          <w:p w14:paraId="069ADC0D" w14:textId="1CEEA6FC" w:rsidR="00CB19D1" w:rsidRPr="00AE1D48" w:rsidRDefault="00CB19D1" w:rsidP="00CB19D1">
            <w:pPr>
              <w:spacing w:after="0"/>
              <w:rPr>
                <w:rFonts w:asciiTheme="minorHAnsi" w:hAnsiTheme="minorHAnsi" w:cstheme="minorHAnsi"/>
                <w:sz w:val="24"/>
                <w:szCs w:val="24"/>
              </w:rPr>
            </w:pPr>
            <w:r>
              <w:rPr>
                <w:rFonts w:cs="Calibri"/>
                <w:sz w:val="24"/>
                <w:szCs w:val="24"/>
              </w:rPr>
              <w:t>Projekt nie został zakończony przed złożeniem  wniosku o dofinansowanie</w:t>
            </w:r>
          </w:p>
        </w:tc>
        <w:tc>
          <w:tcPr>
            <w:tcW w:w="2757" w:type="pct"/>
            <w:tcBorders>
              <w:top w:val="single" w:sz="4" w:space="0" w:color="92D050"/>
              <w:left w:val="single" w:sz="4" w:space="0" w:color="92D050"/>
              <w:bottom w:val="single" w:sz="4" w:space="0" w:color="92D050"/>
              <w:right w:val="single" w:sz="4" w:space="0" w:color="92D050"/>
            </w:tcBorders>
            <w:vAlign w:val="center"/>
          </w:tcPr>
          <w:p w14:paraId="7EF4A3F5" w14:textId="77777777" w:rsidR="00CB19D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A42EF7C" w14:textId="77777777" w:rsidR="00CB19D1" w:rsidRDefault="00CB19D1" w:rsidP="00CB19D1">
            <w:pPr>
              <w:spacing w:after="0"/>
              <w:rPr>
                <w:rFonts w:asciiTheme="minorHAnsi" w:hAnsiTheme="minorHAnsi" w:cstheme="minorHAnsi"/>
                <w:sz w:val="24"/>
                <w:szCs w:val="24"/>
              </w:rPr>
            </w:pPr>
          </w:p>
          <w:p w14:paraId="7DF881C9" w14:textId="44EA16BA"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1121" w:type="pct"/>
            <w:vAlign w:val="center"/>
          </w:tcPr>
          <w:p w14:paraId="4197FC86" w14:textId="5C7EA16D" w:rsidR="00CB19D1" w:rsidRPr="00AE1D48" w:rsidRDefault="00CB19D1" w:rsidP="00CB19D1">
            <w:pPr>
              <w:spacing w:after="0" w:line="240" w:lineRule="auto"/>
              <w:rPr>
                <w:rFonts w:asciiTheme="minorHAnsi" w:hAnsiTheme="minorHAnsi" w:cstheme="minorHAnsi"/>
                <w:sz w:val="24"/>
                <w:szCs w:val="24"/>
              </w:rPr>
            </w:pPr>
            <w:r>
              <w:rPr>
                <w:rFonts w:cs="Calibri"/>
                <w:sz w:val="24"/>
                <w:szCs w:val="24"/>
              </w:rPr>
              <w:t>Kryterium bezwzględne (0/1)</w:t>
            </w:r>
          </w:p>
        </w:tc>
      </w:tr>
      <w:tr w:rsidR="00CB19D1" w:rsidRPr="00AE1D48" w14:paraId="5CB35E03" w14:textId="10A43F54" w:rsidTr="00976246">
        <w:trPr>
          <w:trHeight w:val="644"/>
        </w:trPr>
        <w:tc>
          <w:tcPr>
            <w:tcW w:w="227" w:type="pct"/>
            <w:noWrap/>
            <w:vAlign w:val="center"/>
          </w:tcPr>
          <w:p w14:paraId="3565C18D" w14:textId="40EEB205"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7.</w:t>
            </w:r>
          </w:p>
        </w:tc>
        <w:tc>
          <w:tcPr>
            <w:tcW w:w="895" w:type="pct"/>
            <w:tcBorders>
              <w:top w:val="single" w:sz="4" w:space="0" w:color="92D050"/>
              <w:left w:val="single" w:sz="4" w:space="0" w:color="92D050"/>
              <w:bottom w:val="single" w:sz="4" w:space="0" w:color="92D050"/>
              <w:right w:val="single" w:sz="4" w:space="0" w:color="92D050"/>
            </w:tcBorders>
            <w:vAlign w:val="center"/>
          </w:tcPr>
          <w:p w14:paraId="1BBF0FF9" w14:textId="159CFFFA" w:rsidR="00CB19D1" w:rsidRPr="00AE1D48" w:rsidRDefault="00CB19D1" w:rsidP="00CB19D1">
            <w:pPr>
              <w:spacing w:after="0"/>
              <w:rPr>
                <w:rFonts w:asciiTheme="minorHAnsi" w:hAnsiTheme="minorHAnsi" w:cstheme="minorHAnsi"/>
                <w:sz w:val="24"/>
                <w:szCs w:val="24"/>
              </w:rPr>
            </w:pPr>
            <w:r w:rsidRPr="008736E1">
              <w:rPr>
                <w:rFonts w:asciiTheme="minorHAnsi" w:hAnsiTheme="minorHAnsi" w:cstheme="minorHAnsi"/>
                <w:sz w:val="24"/>
                <w:szCs w:val="24"/>
              </w:rPr>
              <w:t xml:space="preserve">Okres realizacji projektu jest zgodny z okresem kwalifikowania wydatków </w:t>
            </w:r>
            <w:r>
              <w:rPr>
                <w:rFonts w:asciiTheme="minorHAnsi" w:hAnsiTheme="minorHAnsi" w:cstheme="minorHAnsi"/>
                <w:sz w:val="24"/>
                <w:szCs w:val="24"/>
              </w:rPr>
              <w:br/>
            </w:r>
            <w:r w:rsidRPr="008736E1">
              <w:rPr>
                <w:rFonts w:asciiTheme="minorHAnsi" w:hAnsiTheme="minorHAnsi" w:cstheme="minorHAnsi"/>
                <w:sz w:val="24"/>
                <w:szCs w:val="24"/>
              </w:rPr>
              <w:t xml:space="preserve">w </w:t>
            </w:r>
            <w:r>
              <w:rPr>
                <w:rFonts w:asciiTheme="minorHAnsi" w:hAnsiTheme="minorHAnsi" w:cstheme="minorHAnsi"/>
                <w:sz w:val="24"/>
                <w:szCs w:val="24"/>
              </w:rPr>
              <w:t xml:space="preserve">ramach FEO </w:t>
            </w:r>
            <w:r w:rsidRPr="008736E1">
              <w:rPr>
                <w:rFonts w:asciiTheme="minorHAnsi" w:hAnsiTheme="minorHAnsi" w:cstheme="minorHAnsi"/>
                <w:sz w:val="24"/>
                <w:szCs w:val="24"/>
              </w:rPr>
              <w:t xml:space="preserve"> 2021-2027</w:t>
            </w:r>
          </w:p>
        </w:tc>
        <w:tc>
          <w:tcPr>
            <w:tcW w:w="2757" w:type="pct"/>
            <w:tcBorders>
              <w:top w:val="single" w:sz="4" w:space="0" w:color="92D050"/>
              <w:left w:val="single" w:sz="4" w:space="0" w:color="92D050"/>
              <w:bottom w:val="single" w:sz="4" w:space="0" w:color="92D050"/>
              <w:right w:val="single" w:sz="4" w:space="0" w:color="92D050"/>
            </w:tcBorders>
            <w:vAlign w:val="center"/>
          </w:tcPr>
          <w:p w14:paraId="3F4C3975" w14:textId="726A3F90" w:rsidR="00CB19D1" w:rsidRPr="008736E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Bada się, czy r</w:t>
            </w:r>
            <w:r w:rsidRPr="008736E1">
              <w:rPr>
                <w:rFonts w:asciiTheme="minorHAnsi" w:hAnsiTheme="minorHAnsi" w:cstheme="minorHAnsi"/>
                <w:sz w:val="24"/>
                <w:szCs w:val="24"/>
              </w:rPr>
              <w:t xml:space="preserve">ealizacja projektu mieści się w ramach czasowych </w:t>
            </w:r>
            <w:r>
              <w:rPr>
                <w:rFonts w:asciiTheme="minorHAnsi" w:hAnsiTheme="minorHAnsi" w:cstheme="minorHAnsi"/>
                <w:sz w:val="24"/>
                <w:szCs w:val="24"/>
              </w:rPr>
              <w:t>FEO</w:t>
            </w:r>
            <w:r w:rsidRPr="008736E1">
              <w:rPr>
                <w:rFonts w:asciiTheme="minorHAnsi" w:hAnsiTheme="minorHAnsi" w:cstheme="minorHAnsi"/>
                <w:sz w:val="24"/>
                <w:szCs w:val="24"/>
              </w:rPr>
              <w:t xml:space="preserve"> 2021-2027, określonych datami od 1 stycznia 2021 r. do 31 grudnia 2029</w:t>
            </w:r>
            <w:r>
              <w:rPr>
                <w:rFonts w:asciiTheme="minorHAnsi" w:hAnsiTheme="minorHAnsi" w:cstheme="minorHAnsi"/>
                <w:sz w:val="24"/>
                <w:szCs w:val="24"/>
              </w:rPr>
              <w:t xml:space="preserve"> </w:t>
            </w:r>
            <w:r w:rsidRPr="008736E1">
              <w:rPr>
                <w:rFonts w:asciiTheme="minorHAnsi" w:hAnsiTheme="minorHAnsi" w:cstheme="minorHAnsi"/>
                <w:sz w:val="24"/>
                <w:szCs w:val="24"/>
              </w:rPr>
              <w:t xml:space="preserve">r. </w:t>
            </w:r>
          </w:p>
          <w:p w14:paraId="0B078E78" w14:textId="77777777" w:rsidR="00CB19D1" w:rsidRDefault="00CB19D1" w:rsidP="00CB19D1">
            <w:pPr>
              <w:spacing w:after="0"/>
              <w:rPr>
                <w:rFonts w:asciiTheme="minorHAnsi" w:hAnsiTheme="minorHAnsi" w:cstheme="minorHAnsi"/>
                <w:sz w:val="24"/>
                <w:szCs w:val="24"/>
              </w:rPr>
            </w:pPr>
          </w:p>
          <w:p w14:paraId="0BD47D74" w14:textId="6EBCEA4B" w:rsidR="00CB19D1" w:rsidRPr="00AE1D48" w:rsidRDefault="00CB19D1" w:rsidP="00CB19D1">
            <w:pPr>
              <w:spacing w:after="0"/>
              <w:rPr>
                <w:rFonts w:asciiTheme="minorHAnsi" w:hAnsiTheme="minorHAnsi" w:cstheme="minorHAnsi"/>
                <w:sz w:val="24"/>
                <w:szCs w:val="24"/>
              </w:rPr>
            </w:pPr>
            <w:r w:rsidRPr="00480219">
              <w:rPr>
                <w:rFonts w:asciiTheme="minorHAnsi" w:hAnsiTheme="minorHAnsi" w:cstheme="minorHAnsi"/>
                <w:sz w:val="24"/>
                <w:szCs w:val="24"/>
              </w:rPr>
              <w:t>Kryterium weryfikowane na podstawie zap</w:t>
            </w:r>
            <w:r>
              <w:rPr>
                <w:rFonts w:asciiTheme="minorHAnsi" w:hAnsiTheme="minorHAnsi" w:cstheme="minorHAnsi"/>
                <w:sz w:val="24"/>
                <w:szCs w:val="24"/>
              </w:rPr>
              <w:t>isów wniosku o dofinansowanie i </w:t>
            </w:r>
            <w:r w:rsidRPr="00480219">
              <w:rPr>
                <w:rFonts w:asciiTheme="minorHAnsi" w:hAnsiTheme="minorHAnsi" w:cstheme="minorHAnsi"/>
                <w:sz w:val="24"/>
                <w:szCs w:val="24"/>
              </w:rPr>
              <w:t>załączników i/lub wyjaśnień udzielonych przez Wnioskodawcę</w:t>
            </w:r>
            <w:r>
              <w:rPr>
                <w:rFonts w:asciiTheme="minorHAnsi" w:hAnsiTheme="minorHAnsi" w:cstheme="minorHAnsi"/>
                <w:sz w:val="24"/>
                <w:szCs w:val="24"/>
              </w:rPr>
              <w:t>.</w:t>
            </w:r>
          </w:p>
        </w:tc>
        <w:tc>
          <w:tcPr>
            <w:tcW w:w="1121" w:type="pct"/>
            <w:vAlign w:val="center"/>
          </w:tcPr>
          <w:p w14:paraId="71DD953E" w14:textId="342A37E3" w:rsidR="00CB19D1" w:rsidRPr="00AE1D48" w:rsidRDefault="00CB19D1" w:rsidP="00CB19D1">
            <w:pPr>
              <w:spacing w:after="0" w:line="240" w:lineRule="auto"/>
              <w:rPr>
                <w:rFonts w:asciiTheme="minorHAnsi" w:hAnsiTheme="minorHAnsi" w:cstheme="minorHAnsi"/>
                <w:sz w:val="24"/>
                <w:szCs w:val="24"/>
              </w:rPr>
            </w:pPr>
            <w:r w:rsidRPr="005976AC">
              <w:rPr>
                <w:rFonts w:asciiTheme="minorHAnsi" w:hAnsiTheme="minorHAnsi" w:cstheme="minorHAnsi"/>
                <w:iCs/>
                <w:sz w:val="24"/>
                <w:szCs w:val="24"/>
              </w:rPr>
              <w:t>Kryterium bezwzględne (0/1)</w:t>
            </w:r>
          </w:p>
        </w:tc>
      </w:tr>
      <w:tr w:rsidR="00CB19D1" w:rsidRPr="00AE1D48" w14:paraId="3F80A7C5" w14:textId="0757ED78" w:rsidTr="00976246">
        <w:trPr>
          <w:trHeight w:val="644"/>
        </w:trPr>
        <w:tc>
          <w:tcPr>
            <w:tcW w:w="227" w:type="pct"/>
            <w:noWrap/>
            <w:vAlign w:val="center"/>
          </w:tcPr>
          <w:p w14:paraId="3E7B0DA7" w14:textId="3D1D30F3" w:rsidR="00CB19D1" w:rsidRPr="00AE1D48" w:rsidDel="009623FC" w:rsidRDefault="00CB19D1" w:rsidP="00CB19D1">
            <w:pPr>
              <w:rPr>
                <w:rFonts w:asciiTheme="minorHAnsi" w:hAnsiTheme="minorHAnsi" w:cstheme="minorHAnsi"/>
                <w:sz w:val="24"/>
                <w:szCs w:val="24"/>
              </w:rPr>
            </w:pPr>
            <w:r>
              <w:rPr>
                <w:rFonts w:asciiTheme="minorHAnsi" w:hAnsiTheme="minorHAnsi" w:cstheme="minorHAnsi"/>
                <w:sz w:val="24"/>
                <w:szCs w:val="24"/>
              </w:rPr>
              <w:t>8</w:t>
            </w:r>
            <w:r w:rsidRPr="00AE1D48">
              <w:rPr>
                <w:rFonts w:asciiTheme="minorHAnsi" w:hAnsiTheme="minorHAnsi" w:cstheme="minorHAnsi"/>
                <w:sz w:val="24"/>
                <w:szCs w:val="24"/>
              </w:rPr>
              <w:t>.</w:t>
            </w:r>
          </w:p>
        </w:tc>
        <w:tc>
          <w:tcPr>
            <w:tcW w:w="895" w:type="pct"/>
            <w:vAlign w:val="center"/>
          </w:tcPr>
          <w:p w14:paraId="11C7905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Projekt realizowany na terenie województwa opolskiego</w:t>
            </w:r>
          </w:p>
        </w:tc>
        <w:tc>
          <w:tcPr>
            <w:tcW w:w="2757" w:type="pct"/>
            <w:vAlign w:val="center"/>
          </w:tcPr>
          <w:p w14:paraId="2FFA31AD" w14:textId="213F190B"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r w:rsidRPr="00AE1D48">
              <w:rPr>
                <w:rFonts w:asciiTheme="minorHAnsi" w:hAnsiTheme="minorHAnsi" w:cstheme="minorHAnsi"/>
                <w:sz w:val="24"/>
                <w:szCs w:val="24"/>
              </w:rPr>
              <w:t xml:space="preserve"> </w:t>
            </w:r>
          </w:p>
          <w:p w14:paraId="2C509749" w14:textId="77777777" w:rsidR="00CB19D1" w:rsidRPr="00AE1D48" w:rsidRDefault="00CB19D1" w:rsidP="00CB19D1">
            <w:pPr>
              <w:spacing w:after="0"/>
              <w:rPr>
                <w:rFonts w:asciiTheme="minorHAnsi" w:hAnsiTheme="minorHAnsi" w:cstheme="minorHAnsi"/>
                <w:sz w:val="24"/>
                <w:szCs w:val="24"/>
              </w:rPr>
            </w:pPr>
          </w:p>
          <w:p w14:paraId="2AC89267" w14:textId="0CB07944"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6BA54CD0"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6A28F8E0" w14:textId="037EF43C" w:rsidTr="00976246">
        <w:trPr>
          <w:trHeight w:val="644"/>
        </w:trPr>
        <w:tc>
          <w:tcPr>
            <w:tcW w:w="227" w:type="pct"/>
            <w:noWrap/>
            <w:vAlign w:val="center"/>
          </w:tcPr>
          <w:p w14:paraId="45B11319" w14:textId="6928D701"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lastRenderedPageBreak/>
              <w:t>9</w:t>
            </w:r>
            <w:r w:rsidRPr="00AE1D48">
              <w:rPr>
                <w:rFonts w:asciiTheme="minorHAnsi" w:hAnsiTheme="minorHAnsi" w:cstheme="minorHAnsi"/>
                <w:sz w:val="24"/>
                <w:szCs w:val="24"/>
              </w:rPr>
              <w:t>.</w:t>
            </w:r>
          </w:p>
        </w:tc>
        <w:tc>
          <w:tcPr>
            <w:tcW w:w="895" w:type="pct"/>
            <w:vAlign w:val="center"/>
          </w:tcPr>
          <w:p w14:paraId="35367A74"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Zasadność zawarcia partnerstwa w ramach projektu (jeśli dotyczy)</w:t>
            </w:r>
          </w:p>
        </w:tc>
        <w:tc>
          <w:tcPr>
            <w:tcW w:w="2757" w:type="pct"/>
            <w:vAlign w:val="center"/>
          </w:tcPr>
          <w:p w14:paraId="06047BDA" w14:textId="0096092A"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75100726" w14:textId="77777777" w:rsidR="00CB19D1" w:rsidRPr="00AE1D48" w:rsidRDefault="00CB19D1" w:rsidP="00CB19D1">
            <w:pPr>
              <w:spacing w:after="0"/>
              <w:rPr>
                <w:rFonts w:asciiTheme="minorHAnsi" w:hAnsiTheme="minorHAnsi" w:cstheme="minorHAnsi"/>
                <w:sz w:val="24"/>
                <w:szCs w:val="24"/>
              </w:rPr>
            </w:pPr>
          </w:p>
          <w:p w14:paraId="02EF3C69"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2EED4882" w14:textId="77777777" w:rsidR="00CB19D1" w:rsidRPr="00AE1D48" w:rsidRDefault="00CB19D1" w:rsidP="00CB19D1">
            <w:pPr>
              <w:spacing w:after="0"/>
              <w:rPr>
                <w:rFonts w:asciiTheme="minorHAnsi" w:hAnsiTheme="minorHAnsi" w:cstheme="minorHAnsi"/>
                <w:sz w:val="24"/>
                <w:szCs w:val="24"/>
              </w:rPr>
            </w:pPr>
          </w:p>
          <w:p w14:paraId="60037E31" w14:textId="16EA539F"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010CFBEA"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2DF609BA" w14:textId="2D0AC762" w:rsidTr="00976246">
        <w:trPr>
          <w:trHeight w:val="644"/>
        </w:trPr>
        <w:tc>
          <w:tcPr>
            <w:tcW w:w="227" w:type="pct"/>
            <w:noWrap/>
            <w:vAlign w:val="center"/>
          </w:tcPr>
          <w:p w14:paraId="40E0A469" w14:textId="3696B98E"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t>10</w:t>
            </w:r>
            <w:r w:rsidRPr="00AE1D48">
              <w:rPr>
                <w:rFonts w:asciiTheme="minorHAnsi" w:hAnsiTheme="minorHAnsi" w:cstheme="minorHAnsi"/>
                <w:sz w:val="24"/>
                <w:szCs w:val="24"/>
              </w:rPr>
              <w:t>.</w:t>
            </w:r>
          </w:p>
        </w:tc>
        <w:tc>
          <w:tcPr>
            <w:tcW w:w="895" w:type="pct"/>
            <w:vAlign w:val="center"/>
          </w:tcPr>
          <w:p w14:paraId="051018D4" w14:textId="6FD5A450"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W przypadku projektu partnerskiego spełnione zostały wymogi dotyczące wyboru partnerów, o których mowa w art. 39 ustawy z dnia 28 kwietnia 2022 r. o zasadach realizacji zadań finansowanych ze środków europejskich w </w:t>
            </w:r>
            <w:r w:rsidRPr="00AE1D48">
              <w:rPr>
                <w:rFonts w:asciiTheme="minorHAnsi" w:hAnsiTheme="minorHAnsi" w:cstheme="minorHAnsi"/>
                <w:sz w:val="24"/>
                <w:szCs w:val="24"/>
              </w:rPr>
              <w:lastRenderedPageBreak/>
              <w:t>perspektywie finansowej 2021-2027</w:t>
            </w:r>
            <w:r>
              <w:rPr>
                <w:rFonts w:asciiTheme="minorHAnsi" w:hAnsiTheme="minorHAnsi" w:cstheme="minorHAnsi"/>
                <w:sz w:val="24"/>
                <w:szCs w:val="24"/>
              </w:rPr>
              <w:t xml:space="preserve"> (jeśli dotyczy)</w:t>
            </w:r>
          </w:p>
        </w:tc>
        <w:tc>
          <w:tcPr>
            <w:tcW w:w="2757" w:type="pct"/>
            <w:vAlign w:val="center"/>
          </w:tcPr>
          <w:p w14:paraId="559537D5"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588BD6C5" w14:textId="77777777" w:rsidR="00CB19D1" w:rsidRPr="00AE1D48" w:rsidRDefault="00CB19D1" w:rsidP="00CB19D1">
            <w:pPr>
              <w:spacing w:after="0"/>
              <w:rPr>
                <w:rFonts w:asciiTheme="minorHAnsi" w:hAnsiTheme="minorHAnsi" w:cstheme="minorHAnsi"/>
                <w:sz w:val="24"/>
                <w:szCs w:val="24"/>
              </w:rPr>
            </w:pPr>
          </w:p>
          <w:p w14:paraId="07BB2F18" w14:textId="4F5943CE"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330A51EF"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5E3CC812" w14:textId="51F33178" w:rsidTr="00976246">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52DFFE7C" w14:textId="2E8B1572"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1</w:t>
            </w:r>
            <w:r w:rsidRPr="00AE1D48">
              <w:rPr>
                <w:rFonts w:asciiTheme="minorHAnsi" w:hAnsiTheme="minorHAnsi" w:cstheme="minorHAnsi"/>
                <w:sz w:val="24"/>
                <w:szCs w:val="24"/>
              </w:rPr>
              <w:t>.</w:t>
            </w:r>
          </w:p>
        </w:tc>
        <w:tc>
          <w:tcPr>
            <w:tcW w:w="895" w:type="pct"/>
            <w:tcBorders>
              <w:top w:val="single" w:sz="4" w:space="0" w:color="92D050"/>
              <w:left w:val="single" w:sz="4" w:space="0" w:color="92D050"/>
              <w:bottom w:val="single" w:sz="4" w:space="0" w:color="92D050"/>
              <w:right w:val="single" w:sz="4" w:space="0" w:color="92D050"/>
            </w:tcBorders>
            <w:vAlign w:val="center"/>
          </w:tcPr>
          <w:p w14:paraId="7632B3AF" w14:textId="77777777"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wskaźników </w:t>
            </w:r>
            <w:r w:rsidRPr="00AE1D48">
              <w:rPr>
                <w:rFonts w:asciiTheme="minorHAnsi" w:hAnsiTheme="minorHAnsi" w:cstheme="minorHAnsi"/>
                <w:sz w:val="24"/>
                <w:szCs w:val="24"/>
              </w:rPr>
              <w:br/>
              <w:t>w projekcie</w:t>
            </w:r>
          </w:p>
        </w:tc>
        <w:tc>
          <w:tcPr>
            <w:tcW w:w="2757" w:type="pct"/>
            <w:tcBorders>
              <w:top w:val="single" w:sz="4" w:space="0" w:color="92D050"/>
              <w:left w:val="single" w:sz="4" w:space="0" w:color="92D050"/>
              <w:bottom w:val="single" w:sz="4" w:space="0" w:color="92D050"/>
              <w:right w:val="single" w:sz="4" w:space="0" w:color="92D050"/>
            </w:tcBorders>
            <w:vAlign w:val="center"/>
          </w:tcPr>
          <w:p w14:paraId="12243C36"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Wnioskodawca określa wartość docelową większą od zera dla wszystkich wybranych wskaźników w projekcie.</w:t>
            </w:r>
          </w:p>
          <w:p w14:paraId="13268C02" w14:textId="77777777" w:rsidR="00CB19D1" w:rsidRPr="00AE1D48" w:rsidRDefault="00CB19D1" w:rsidP="00CB19D1">
            <w:pPr>
              <w:spacing w:after="40"/>
              <w:rPr>
                <w:rFonts w:asciiTheme="minorHAnsi" w:hAnsiTheme="minorHAnsi" w:cstheme="minorHAnsi"/>
                <w:sz w:val="24"/>
                <w:szCs w:val="24"/>
              </w:rPr>
            </w:pPr>
          </w:p>
          <w:p w14:paraId="48D5D888" w14:textId="77777777" w:rsidR="00CB19D1" w:rsidRPr="00AE1D48" w:rsidRDefault="00CB19D1" w:rsidP="00CB19D1">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4EE0AEE6" w14:textId="77777777" w:rsidR="00CB19D1" w:rsidRPr="00AE1D48" w:rsidRDefault="00CB19D1" w:rsidP="00CB19D1">
            <w:pPr>
              <w:spacing w:after="40"/>
              <w:rPr>
                <w:rFonts w:asciiTheme="minorHAnsi" w:hAnsiTheme="minorHAnsi" w:cstheme="minorHAnsi"/>
                <w:sz w:val="24"/>
                <w:szCs w:val="24"/>
              </w:rPr>
            </w:pPr>
          </w:p>
          <w:p w14:paraId="1CA29110" w14:textId="28C28790"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1121" w:type="pct"/>
            <w:tcBorders>
              <w:top w:val="single" w:sz="4" w:space="0" w:color="92D050"/>
              <w:left w:val="single" w:sz="4" w:space="0" w:color="92D050"/>
              <w:bottom w:val="single" w:sz="4" w:space="0" w:color="92D050"/>
              <w:right w:val="single" w:sz="4" w:space="0" w:color="92D050"/>
            </w:tcBorders>
            <w:vAlign w:val="center"/>
          </w:tcPr>
          <w:p w14:paraId="23A3CEAF"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15B77253" w14:textId="7BF343A6" w:rsidTr="00976246">
        <w:trPr>
          <w:trHeight w:val="564"/>
        </w:trPr>
        <w:tc>
          <w:tcPr>
            <w:tcW w:w="227" w:type="pct"/>
            <w:noWrap/>
            <w:vAlign w:val="center"/>
          </w:tcPr>
          <w:p w14:paraId="5CD432BA" w14:textId="49D76E49" w:rsidR="00CB19D1" w:rsidRPr="00AE1D48" w:rsidDel="009623FC"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2</w:t>
            </w:r>
            <w:r w:rsidRPr="00AE1D48">
              <w:rPr>
                <w:rFonts w:asciiTheme="minorHAnsi" w:hAnsiTheme="minorHAnsi" w:cstheme="minorHAnsi"/>
                <w:sz w:val="24"/>
                <w:szCs w:val="24"/>
              </w:rPr>
              <w:t>.</w:t>
            </w:r>
          </w:p>
        </w:tc>
        <w:tc>
          <w:tcPr>
            <w:tcW w:w="895" w:type="pct"/>
            <w:vAlign w:val="center"/>
          </w:tcPr>
          <w:p w14:paraId="53AB01C1" w14:textId="1B2D6E4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t>z zastosowaniem uproszczonych metod rozliczania wydatków wskazanych w Regulaminie wyboru projektów</w:t>
            </w:r>
            <w:r>
              <w:rPr>
                <w:rFonts w:asciiTheme="minorHAnsi" w:hAnsiTheme="minorHAnsi" w:cstheme="minorHAnsi"/>
                <w:sz w:val="24"/>
                <w:szCs w:val="24"/>
              </w:rPr>
              <w:t xml:space="preserve"> (jeśli dotyczy)</w:t>
            </w:r>
          </w:p>
        </w:tc>
        <w:tc>
          <w:tcPr>
            <w:tcW w:w="2757" w:type="pct"/>
            <w:vAlign w:val="center"/>
          </w:tcPr>
          <w:p w14:paraId="626F3070"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5EA22508" w14:textId="77777777" w:rsidR="00CB19D1" w:rsidRPr="00AE1D48" w:rsidRDefault="00CB19D1" w:rsidP="00CB19D1">
            <w:pPr>
              <w:spacing w:after="0"/>
              <w:rPr>
                <w:rFonts w:asciiTheme="minorHAnsi" w:hAnsiTheme="minorHAnsi" w:cstheme="minorHAnsi"/>
                <w:iCs/>
                <w:sz w:val="24"/>
                <w:szCs w:val="24"/>
              </w:rPr>
            </w:pPr>
          </w:p>
          <w:p w14:paraId="0D7396C6" w14:textId="68AED19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266BEED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586BA98A" w14:textId="7B23EFCD" w:rsidTr="00976246">
        <w:trPr>
          <w:trHeight w:val="564"/>
        </w:trPr>
        <w:tc>
          <w:tcPr>
            <w:tcW w:w="227" w:type="pct"/>
            <w:noWrap/>
            <w:vAlign w:val="center"/>
          </w:tcPr>
          <w:p w14:paraId="39A98C0E" w14:textId="15AB7D5A"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lastRenderedPageBreak/>
              <w:t>1</w:t>
            </w:r>
            <w:r>
              <w:rPr>
                <w:rFonts w:asciiTheme="minorHAnsi" w:hAnsiTheme="minorHAnsi" w:cstheme="minorHAnsi"/>
                <w:sz w:val="24"/>
                <w:szCs w:val="24"/>
              </w:rPr>
              <w:t>3</w:t>
            </w:r>
            <w:r w:rsidRPr="00AE1D48">
              <w:rPr>
                <w:rFonts w:asciiTheme="minorHAnsi" w:hAnsiTheme="minorHAnsi" w:cstheme="minorHAnsi"/>
                <w:sz w:val="24"/>
                <w:szCs w:val="24"/>
              </w:rPr>
              <w:t>.</w:t>
            </w:r>
          </w:p>
        </w:tc>
        <w:tc>
          <w:tcPr>
            <w:tcW w:w="895" w:type="pct"/>
            <w:vAlign w:val="center"/>
          </w:tcPr>
          <w:p w14:paraId="386ECDE0"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Poprawność formalno-techniczna projektu</w:t>
            </w:r>
          </w:p>
        </w:tc>
        <w:tc>
          <w:tcPr>
            <w:tcW w:w="2757" w:type="pct"/>
            <w:vAlign w:val="center"/>
          </w:tcPr>
          <w:p w14:paraId="693AC3E7" w14:textId="3A42EC09" w:rsidR="00CB19D1" w:rsidRPr="00FC2CA2" w:rsidRDefault="00CB19D1" w:rsidP="00CB19D1">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6F93337C" w14:textId="77777777" w:rsidR="00CB19D1" w:rsidRPr="00AE1D48" w:rsidRDefault="00CB19D1" w:rsidP="00CB19D1">
            <w:pPr>
              <w:spacing w:after="0"/>
              <w:rPr>
                <w:rFonts w:asciiTheme="minorHAnsi" w:hAnsiTheme="minorHAnsi" w:cstheme="minorHAnsi"/>
                <w:sz w:val="24"/>
                <w:szCs w:val="24"/>
              </w:rPr>
            </w:pPr>
          </w:p>
          <w:p w14:paraId="7D2B0B63" w14:textId="3465DCD4"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7760D22B"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Kryterium bezwzględne (0/1)</w:t>
            </w:r>
          </w:p>
        </w:tc>
      </w:tr>
    </w:tbl>
    <w:p w14:paraId="5967D597" w14:textId="3A6E64CE" w:rsidR="00A60B9D" w:rsidRDefault="00A60B9D"/>
    <w:sectPr w:rsidR="00A60B9D"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F77B" w14:textId="77777777" w:rsidR="00AB2D8B" w:rsidRDefault="00AB2D8B" w:rsidP="001A07DF">
      <w:pPr>
        <w:spacing w:after="0" w:line="240" w:lineRule="auto"/>
      </w:pPr>
      <w:r>
        <w:separator/>
      </w:r>
    </w:p>
  </w:endnote>
  <w:endnote w:type="continuationSeparator" w:id="0">
    <w:p w14:paraId="4770B2B1" w14:textId="77777777" w:rsidR="00AB2D8B" w:rsidRDefault="00AB2D8B"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AC498F">
          <w:rPr>
            <w:noProof/>
          </w:rPr>
          <w:t>5</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93D0" w14:textId="77777777" w:rsidR="00AB2D8B" w:rsidRDefault="00AB2D8B" w:rsidP="001A07DF">
      <w:pPr>
        <w:spacing w:after="0" w:line="240" w:lineRule="auto"/>
      </w:pPr>
      <w:r>
        <w:separator/>
      </w:r>
    </w:p>
  </w:footnote>
  <w:footnote w:type="continuationSeparator" w:id="0">
    <w:p w14:paraId="76CBDEC6" w14:textId="77777777" w:rsidR="00AB2D8B" w:rsidRDefault="00AB2D8B"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4CD"/>
    <w:multiLevelType w:val="hybridMultilevel"/>
    <w:tmpl w:val="83FA82E4"/>
    <w:lvl w:ilvl="0" w:tplc="4AFE4A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3593547">
    <w:abstractNumId w:val="3"/>
  </w:num>
  <w:num w:numId="2" w16cid:durableId="1156334263">
    <w:abstractNumId w:val="2"/>
  </w:num>
  <w:num w:numId="3" w16cid:durableId="1786264243">
    <w:abstractNumId w:val="1"/>
  </w:num>
  <w:num w:numId="4" w16cid:durableId="23786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EE"/>
    <w:rsid w:val="000069C6"/>
    <w:rsid w:val="00007054"/>
    <w:rsid w:val="00015440"/>
    <w:rsid w:val="000167EE"/>
    <w:rsid w:val="00022A9E"/>
    <w:rsid w:val="0002515D"/>
    <w:rsid w:val="000279E5"/>
    <w:rsid w:val="0004192E"/>
    <w:rsid w:val="00054930"/>
    <w:rsid w:val="000577E7"/>
    <w:rsid w:val="00061230"/>
    <w:rsid w:val="00082328"/>
    <w:rsid w:val="000C3110"/>
    <w:rsid w:val="000D047E"/>
    <w:rsid w:val="000E6B18"/>
    <w:rsid w:val="001306BE"/>
    <w:rsid w:val="00132FFA"/>
    <w:rsid w:val="00166751"/>
    <w:rsid w:val="0016686A"/>
    <w:rsid w:val="00181F16"/>
    <w:rsid w:val="001A07DF"/>
    <w:rsid w:val="001C21D0"/>
    <w:rsid w:val="001C312B"/>
    <w:rsid w:val="001D0040"/>
    <w:rsid w:val="001F335C"/>
    <w:rsid w:val="00215CE3"/>
    <w:rsid w:val="00226B7A"/>
    <w:rsid w:val="0023169B"/>
    <w:rsid w:val="00254D8F"/>
    <w:rsid w:val="00256443"/>
    <w:rsid w:val="00256CF0"/>
    <w:rsid w:val="00271368"/>
    <w:rsid w:val="0028140E"/>
    <w:rsid w:val="00294D35"/>
    <w:rsid w:val="00297AB2"/>
    <w:rsid w:val="002A4FFF"/>
    <w:rsid w:val="002B4AA8"/>
    <w:rsid w:val="002D7FC0"/>
    <w:rsid w:val="002E1602"/>
    <w:rsid w:val="002E1AB5"/>
    <w:rsid w:val="003228EA"/>
    <w:rsid w:val="003246C0"/>
    <w:rsid w:val="00326E2F"/>
    <w:rsid w:val="003301C1"/>
    <w:rsid w:val="0033290F"/>
    <w:rsid w:val="00350315"/>
    <w:rsid w:val="003514CF"/>
    <w:rsid w:val="00362B16"/>
    <w:rsid w:val="0036380B"/>
    <w:rsid w:val="00364BDF"/>
    <w:rsid w:val="003724BB"/>
    <w:rsid w:val="00385B66"/>
    <w:rsid w:val="0039342A"/>
    <w:rsid w:val="0039352F"/>
    <w:rsid w:val="003B052B"/>
    <w:rsid w:val="003B20BE"/>
    <w:rsid w:val="003B3147"/>
    <w:rsid w:val="003D00F8"/>
    <w:rsid w:val="0043117A"/>
    <w:rsid w:val="00432098"/>
    <w:rsid w:val="00432804"/>
    <w:rsid w:val="00450368"/>
    <w:rsid w:val="004544EC"/>
    <w:rsid w:val="00460A01"/>
    <w:rsid w:val="00465EA0"/>
    <w:rsid w:val="0047170E"/>
    <w:rsid w:val="004859B8"/>
    <w:rsid w:val="00491E55"/>
    <w:rsid w:val="004B43F0"/>
    <w:rsid w:val="004C4AB4"/>
    <w:rsid w:val="004D45DF"/>
    <w:rsid w:val="004D4CF4"/>
    <w:rsid w:val="004E6229"/>
    <w:rsid w:val="00505034"/>
    <w:rsid w:val="00515267"/>
    <w:rsid w:val="0051701B"/>
    <w:rsid w:val="00517FD7"/>
    <w:rsid w:val="005460AA"/>
    <w:rsid w:val="005717E4"/>
    <w:rsid w:val="00582207"/>
    <w:rsid w:val="005957E3"/>
    <w:rsid w:val="00595A99"/>
    <w:rsid w:val="00596688"/>
    <w:rsid w:val="005A0165"/>
    <w:rsid w:val="005C1BBF"/>
    <w:rsid w:val="005D2592"/>
    <w:rsid w:val="005D5E70"/>
    <w:rsid w:val="005D7710"/>
    <w:rsid w:val="005E0748"/>
    <w:rsid w:val="005E26F0"/>
    <w:rsid w:val="005E5EB3"/>
    <w:rsid w:val="005E677C"/>
    <w:rsid w:val="005F2B10"/>
    <w:rsid w:val="00627286"/>
    <w:rsid w:val="00636590"/>
    <w:rsid w:val="00646E1F"/>
    <w:rsid w:val="00690893"/>
    <w:rsid w:val="006935F8"/>
    <w:rsid w:val="006B2891"/>
    <w:rsid w:val="006C2979"/>
    <w:rsid w:val="006D4B5A"/>
    <w:rsid w:val="0070241F"/>
    <w:rsid w:val="00705812"/>
    <w:rsid w:val="00706AB9"/>
    <w:rsid w:val="00711F0C"/>
    <w:rsid w:val="00731EAB"/>
    <w:rsid w:val="00745059"/>
    <w:rsid w:val="00754A5B"/>
    <w:rsid w:val="00757558"/>
    <w:rsid w:val="00757E3D"/>
    <w:rsid w:val="00767D69"/>
    <w:rsid w:val="00777BAC"/>
    <w:rsid w:val="007807A0"/>
    <w:rsid w:val="007928B2"/>
    <w:rsid w:val="00796D16"/>
    <w:rsid w:val="007A5F52"/>
    <w:rsid w:val="007C0DA3"/>
    <w:rsid w:val="007C448E"/>
    <w:rsid w:val="007F19BD"/>
    <w:rsid w:val="007F7FE0"/>
    <w:rsid w:val="00812151"/>
    <w:rsid w:val="0082557A"/>
    <w:rsid w:val="008260E9"/>
    <w:rsid w:val="00837892"/>
    <w:rsid w:val="0084209E"/>
    <w:rsid w:val="008649E2"/>
    <w:rsid w:val="008736E1"/>
    <w:rsid w:val="0088672E"/>
    <w:rsid w:val="00893CF0"/>
    <w:rsid w:val="00893FF9"/>
    <w:rsid w:val="008A1AFB"/>
    <w:rsid w:val="008D0830"/>
    <w:rsid w:val="008D7FAA"/>
    <w:rsid w:val="00933DD3"/>
    <w:rsid w:val="00941188"/>
    <w:rsid w:val="009463CB"/>
    <w:rsid w:val="0096066E"/>
    <w:rsid w:val="00973F92"/>
    <w:rsid w:val="00976246"/>
    <w:rsid w:val="009979EC"/>
    <w:rsid w:val="009A2387"/>
    <w:rsid w:val="009B12EC"/>
    <w:rsid w:val="009D3327"/>
    <w:rsid w:val="009E411B"/>
    <w:rsid w:val="009F4BD4"/>
    <w:rsid w:val="00A06365"/>
    <w:rsid w:val="00A06E97"/>
    <w:rsid w:val="00A07A95"/>
    <w:rsid w:val="00A1747B"/>
    <w:rsid w:val="00A350D6"/>
    <w:rsid w:val="00A366AA"/>
    <w:rsid w:val="00A50F9D"/>
    <w:rsid w:val="00A60B9D"/>
    <w:rsid w:val="00A6130F"/>
    <w:rsid w:val="00A66B5E"/>
    <w:rsid w:val="00A72876"/>
    <w:rsid w:val="00AB11E7"/>
    <w:rsid w:val="00AB2D8B"/>
    <w:rsid w:val="00AC4728"/>
    <w:rsid w:val="00AC498F"/>
    <w:rsid w:val="00AE1D48"/>
    <w:rsid w:val="00B13A23"/>
    <w:rsid w:val="00B53948"/>
    <w:rsid w:val="00BC0E57"/>
    <w:rsid w:val="00BD693A"/>
    <w:rsid w:val="00C0113A"/>
    <w:rsid w:val="00C12EB3"/>
    <w:rsid w:val="00C43E21"/>
    <w:rsid w:val="00C61820"/>
    <w:rsid w:val="00C669FF"/>
    <w:rsid w:val="00CB19D1"/>
    <w:rsid w:val="00CD69B1"/>
    <w:rsid w:val="00CE565D"/>
    <w:rsid w:val="00CE608E"/>
    <w:rsid w:val="00D030D3"/>
    <w:rsid w:val="00D174B1"/>
    <w:rsid w:val="00D246E0"/>
    <w:rsid w:val="00D34D77"/>
    <w:rsid w:val="00D42C2C"/>
    <w:rsid w:val="00D44A7E"/>
    <w:rsid w:val="00D67258"/>
    <w:rsid w:val="00D863BD"/>
    <w:rsid w:val="00DA1003"/>
    <w:rsid w:val="00DA2073"/>
    <w:rsid w:val="00DA3F9D"/>
    <w:rsid w:val="00DB2107"/>
    <w:rsid w:val="00DB351F"/>
    <w:rsid w:val="00DB3957"/>
    <w:rsid w:val="00DC536A"/>
    <w:rsid w:val="00DD2936"/>
    <w:rsid w:val="00DE231B"/>
    <w:rsid w:val="00DE30F3"/>
    <w:rsid w:val="00DF079C"/>
    <w:rsid w:val="00DF397F"/>
    <w:rsid w:val="00E149C2"/>
    <w:rsid w:val="00E60494"/>
    <w:rsid w:val="00E62E44"/>
    <w:rsid w:val="00E77DBA"/>
    <w:rsid w:val="00E87773"/>
    <w:rsid w:val="00EA13CA"/>
    <w:rsid w:val="00EA2580"/>
    <w:rsid w:val="00EB35E0"/>
    <w:rsid w:val="00EB74A4"/>
    <w:rsid w:val="00EB79E3"/>
    <w:rsid w:val="00EC23F8"/>
    <w:rsid w:val="00EC2791"/>
    <w:rsid w:val="00EE0114"/>
    <w:rsid w:val="00EE0272"/>
    <w:rsid w:val="00F103AE"/>
    <w:rsid w:val="00F23EA4"/>
    <w:rsid w:val="00F279DB"/>
    <w:rsid w:val="00F44938"/>
    <w:rsid w:val="00F52E25"/>
    <w:rsid w:val="00F56FE1"/>
    <w:rsid w:val="00F71D0A"/>
    <w:rsid w:val="00F7218F"/>
    <w:rsid w:val="00F80B15"/>
    <w:rsid w:val="00F85D19"/>
    <w:rsid w:val="00F91AE7"/>
    <w:rsid w:val="00FB7C2D"/>
    <w:rsid w:val="00FC2CA2"/>
    <w:rsid w:val="00FC5F84"/>
    <w:rsid w:val="00FD7626"/>
    <w:rsid w:val="00FE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2CE"/>
  <w15:chartTrackingRefBased/>
  <w15:docId w15:val="{112F5525-B823-4411-9D59-91F95CD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A07A95"/>
    <w:rPr>
      <w:sz w:val="16"/>
      <w:szCs w:val="16"/>
    </w:rPr>
  </w:style>
  <w:style w:type="paragraph" w:styleId="Tekstkomentarza">
    <w:name w:val="annotation text"/>
    <w:basedOn w:val="Normalny"/>
    <w:link w:val="TekstkomentarzaZnak"/>
    <w:uiPriority w:val="99"/>
    <w:unhideWhenUsed/>
    <w:rsid w:val="00A07A95"/>
    <w:pPr>
      <w:spacing w:line="240" w:lineRule="auto"/>
    </w:pPr>
    <w:rPr>
      <w:sz w:val="20"/>
      <w:szCs w:val="20"/>
    </w:rPr>
  </w:style>
  <w:style w:type="character" w:customStyle="1" w:styleId="TekstkomentarzaZnak">
    <w:name w:val="Tekst komentarza Znak"/>
    <w:basedOn w:val="Domylnaczcionkaakapitu"/>
    <w:link w:val="Tekstkomentarza"/>
    <w:uiPriority w:val="99"/>
    <w:rsid w:val="00A07A95"/>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07A95"/>
    <w:rPr>
      <w:b/>
      <w:bCs/>
    </w:rPr>
  </w:style>
  <w:style w:type="character" w:customStyle="1" w:styleId="TematkomentarzaZnak">
    <w:name w:val="Temat komentarza Znak"/>
    <w:basedOn w:val="TekstkomentarzaZnak"/>
    <w:link w:val="Tematkomentarza"/>
    <w:uiPriority w:val="99"/>
    <w:semiHidden/>
    <w:rsid w:val="00A07A95"/>
    <w:rPr>
      <w:rFonts w:ascii="Calibri" w:eastAsia="Times New Roman" w:hAnsi="Calibri" w:cs="Times New Roman"/>
      <w:b/>
      <w:bCs/>
      <w:sz w:val="20"/>
      <w:szCs w:val="20"/>
    </w:rPr>
  </w:style>
  <w:style w:type="character" w:customStyle="1" w:styleId="cf01">
    <w:name w:val="cf01"/>
    <w:basedOn w:val="Domylnaczcionkaakapitu"/>
    <w:rsid w:val="00362B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066">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138302570">
      <w:bodyDiv w:val="1"/>
      <w:marLeft w:val="0"/>
      <w:marRight w:val="0"/>
      <w:marTop w:val="0"/>
      <w:marBottom w:val="0"/>
      <w:divBdr>
        <w:top w:val="none" w:sz="0" w:space="0" w:color="auto"/>
        <w:left w:val="none" w:sz="0" w:space="0" w:color="auto"/>
        <w:bottom w:val="none" w:sz="0" w:space="0" w:color="auto"/>
        <w:right w:val="none" w:sz="0" w:space="0" w:color="auto"/>
      </w:divBdr>
    </w:div>
    <w:div w:id="14656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4EC7-BEDB-4AB3-8D6C-D7BD9F6A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7</Pages>
  <Words>1141</Words>
  <Characters>6846</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ANETA NOWOBILSKA</cp:lastModifiedBy>
  <cp:revision>35</cp:revision>
  <cp:lastPrinted>2023-02-07T10:03:00Z</cp:lastPrinted>
  <dcterms:created xsi:type="dcterms:W3CDTF">2023-03-03T07:31:00Z</dcterms:created>
  <dcterms:modified xsi:type="dcterms:W3CDTF">2025-06-02T08:29:00Z</dcterms:modified>
</cp:coreProperties>
</file>