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7AA4" w14:textId="77777777" w:rsidR="00EA7719" w:rsidRDefault="00EA7719" w:rsidP="00EE0272">
      <w:pPr>
        <w:jc w:val="center"/>
        <w:rPr>
          <w:b/>
          <w:color w:val="000099"/>
          <w:sz w:val="36"/>
          <w:szCs w:val="36"/>
        </w:rPr>
      </w:pPr>
    </w:p>
    <w:p w14:paraId="0DF80E77" w14:textId="77777777" w:rsidR="000167EE" w:rsidRDefault="00EE0272" w:rsidP="00EE0272">
      <w:pPr>
        <w:jc w:val="center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F79F611" wp14:editId="48942D91">
            <wp:extent cx="7562850" cy="771525"/>
            <wp:effectExtent l="0" t="0" r="0" b="952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0B089" w14:textId="77777777" w:rsidR="00DC1739" w:rsidRPr="000F46B5" w:rsidRDefault="00DC1739" w:rsidP="00DC173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0F46B5">
        <w:rPr>
          <w:rFonts w:cs="Calibri"/>
          <w:sz w:val="20"/>
          <w:szCs w:val="20"/>
        </w:rPr>
        <w:t xml:space="preserve">Załącznik do Uchwały </w:t>
      </w:r>
    </w:p>
    <w:p w14:paraId="70416457" w14:textId="23192DC6" w:rsidR="00DC1739" w:rsidRPr="000F46B5" w:rsidRDefault="00DC1739" w:rsidP="00DC173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0F46B5">
        <w:rPr>
          <w:rFonts w:cs="Calibri"/>
          <w:sz w:val="20"/>
          <w:szCs w:val="20"/>
        </w:rPr>
        <w:t xml:space="preserve">Nr </w:t>
      </w:r>
      <w:r>
        <w:rPr>
          <w:rFonts w:cs="Calibri"/>
          <w:sz w:val="20"/>
          <w:szCs w:val="20"/>
        </w:rPr>
        <w:t>8</w:t>
      </w:r>
      <w:r>
        <w:rPr>
          <w:rFonts w:cs="Calibri"/>
          <w:sz w:val="20"/>
          <w:szCs w:val="20"/>
        </w:rPr>
        <w:t>1</w:t>
      </w:r>
      <w:r w:rsidRPr="000F46B5">
        <w:rPr>
          <w:rFonts w:cs="Calibri"/>
          <w:sz w:val="20"/>
          <w:szCs w:val="20"/>
        </w:rPr>
        <w:t xml:space="preserve"> KM FEO 2021-2027</w:t>
      </w:r>
    </w:p>
    <w:p w14:paraId="17B33F17" w14:textId="77777777" w:rsidR="00DC1739" w:rsidRDefault="00DC1739" w:rsidP="00DC1739">
      <w:pPr>
        <w:rPr>
          <w:b/>
          <w:color w:val="000099"/>
          <w:sz w:val="36"/>
          <w:szCs w:val="36"/>
        </w:rPr>
      </w:pPr>
      <w:r>
        <w:rPr>
          <w:rFonts w:cs="Calibri"/>
          <w:sz w:val="20"/>
          <w:szCs w:val="20"/>
        </w:rPr>
        <w:t xml:space="preserve">   </w:t>
      </w:r>
      <w:r w:rsidRPr="000F46B5">
        <w:rPr>
          <w:rFonts w:cs="Calibri"/>
          <w:sz w:val="20"/>
          <w:szCs w:val="20"/>
        </w:rPr>
        <w:t>z dnia 18 stycznia 2024 r</w:t>
      </w:r>
      <w:r>
        <w:rPr>
          <w:rFonts w:cs="Calibri"/>
          <w:sz w:val="20"/>
          <w:szCs w:val="20"/>
        </w:rPr>
        <w:t>.</w:t>
      </w:r>
    </w:p>
    <w:p w14:paraId="004F9738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0868E45D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7E4B880D" w14:textId="60636599" w:rsidR="001465A3" w:rsidRPr="001465A3" w:rsidRDefault="00B63D34" w:rsidP="001465A3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PR</w:t>
      </w:r>
      <w:r w:rsidR="00FD061F">
        <w:rPr>
          <w:b/>
          <w:color w:val="000099"/>
          <w:sz w:val="36"/>
          <w:szCs w:val="36"/>
        </w:rPr>
        <w:t>I</w:t>
      </w:r>
      <w:r w:rsidR="001465A3" w:rsidRPr="001465A3">
        <w:rPr>
          <w:b/>
          <w:color w:val="000099"/>
          <w:sz w:val="36"/>
          <w:szCs w:val="36"/>
        </w:rPr>
        <w:t>ORYTET I Fundusze europejskie na rzecz wzrostu innowacyjności i konkurencyjności opolskiego</w:t>
      </w:r>
      <w:r w:rsidR="00924A0E">
        <w:rPr>
          <w:b/>
          <w:color w:val="000099"/>
          <w:sz w:val="36"/>
          <w:szCs w:val="36"/>
        </w:rPr>
        <w:t xml:space="preserve"> </w:t>
      </w:r>
    </w:p>
    <w:p w14:paraId="32AF51DC" w14:textId="77777777" w:rsidR="001465A3" w:rsidRPr="001465A3" w:rsidRDefault="001465A3" w:rsidP="001465A3">
      <w:pPr>
        <w:spacing w:after="120"/>
        <w:rPr>
          <w:b/>
          <w:color w:val="000099"/>
          <w:sz w:val="36"/>
          <w:szCs w:val="36"/>
        </w:rPr>
      </w:pPr>
    </w:p>
    <w:p w14:paraId="0AE43792" w14:textId="5CB3831C" w:rsidR="001465A3" w:rsidRPr="001465A3" w:rsidRDefault="00522A83" w:rsidP="001465A3">
      <w:pPr>
        <w:spacing w:after="120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DZIAŁANIE 1.7</w:t>
      </w:r>
      <w:r w:rsidR="001465A3" w:rsidRPr="001465A3">
        <w:rPr>
          <w:b/>
          <w:color w:val="000099"/>
          <w:sz w:val="36"/>
          <w:szCs w:val="36"/>
        </w:rPr>
        <w:t xml:space="preserve"> </w:t>
      </w:r>
      <w:r w:rsidR="00515CE9" w:rsidRPr="00515CE9">
        <w:rPr>
          <w:b/>
          <w:color w:val="000099"/>
          <w:sz w:val="36"/>
          <w:szCs w:val="36"/>
        </w:rPr>
        <w:t>Opolskie konkurencyjne</w:t>
      </w:r>
    </w:p>
    <w:p w14:paraId="306DCD50" w14:textId="77777777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</w:p>
    <w:p w14:paraId="7F6A302A" w14:textId="1204277B" w:rsidR="00DB38DD" w:rsidRPr="00DB38DD" w:rsidRDefault="00DB38DD" w:rsidP="005B4ADA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 xml:space="preserve">KRYTERIA </w:t>
      </w:r>
      <w:r w:rsidR="00515CE9">
        <w:rPr>
          <w:b/>
          <w:color w:val="000099"/>
          <w:sz w:val="36"/>
          <w:szCs w:val="36"/>
        </w:rPr>
        <w:t xml:space="preserve">MERYTORYCZNE </w:t>
      </w:r>
      <w:r w:rsidR="0046626D">
        <w:rPr>
          <w:b/>
          <w:color w:val="000099"/>
          <w:sz w:val="36"/>
          <w:szCs w:val="36"/>
        </w:rPr>
        <w:t>SZCZEGÓŁOWE</w:t>
      </w:r>
    </w:p>
    <w:p w14:paraId="2BB8172E" w14:textId="77777777" w:rsidR="00912BFA" w:rsidRDefault="00912BFA" w:rsidP="005B4ADA">
      <w:pPr>
        <w:rPr>
          <w:b/>
          <w:color w:val="000099"/>
          <w:sz w:val="36"/>
          <w:szCs w:val="36"/>
        </w:rPr>
      </w:pPr>
    </w:p>
    <w:p w14:paraId="5737197C" w14:textId="03CE2F12" w:rsidR="00090BF6" w:rsidRDefault="00745059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Opole, 202</w:t>
      </w:r>
      <w:r w:rsidR="0068586D">
        <w:rPr>
          <w:b/>
          <w:color w:val="000099"/>
          <w:sz w:val="36"/>
          <w:szCs w:val="36"/>
        </w:rPr>
        <w:t>4</w:t>
      </w:r>
      <w:r>
        <w:rPr>
          <w:b/>
          <w:color w:val="000099"/>
          <w:sz w:val="36"/>
          <w:szCs w:val="36"/>
        </w:rPr>
        <w:t xml:space="preserve"> r.</w:t>
      </w:r>
    </w:p>
    <w:tbl>
      <w:tblPr>
        <w:tblW w:w="5622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9"/>
        <w:gridCol w:w="12446"/>
      </w:tblGrid>
      <w:tr w:rsidR="00090BF6" w:rsidRPr="0078417B" w14:paraId="22EFA43C" w14:textId="77777777" w:rsidTr="006E73CC">
        <w:trPr>
          <w:trHeight w:val="595"/>
        </w:trPr>
        <w:tc>
          <w:tcPr>
            <w:tcW w:w="1045" w:type="pct"/>
            <w:shd w:val="clear" w:color="auto" w:fill="D9D9D9"/>
            <w:noWrap/>
            <w:vAlign w:val="center"/>
          </w:tcPr>
          <w:p w14:paraId="1C1319DF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955" w:type="pct"/>
            <w:shd w:val="clear" w:color="auto" w:fill="D9D9D9"/>
            <w:vAlign w:val="center"/>
          </w:tcPr>
          <w:p w14:paraId="23D44F37" w14:textId="427600BB" w:rsidR="00090BF6" w:rsidRPr="008B76A6" w:rsidRDefault="00EB626D" w:rsidP="00285A8C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Fundusze europejskie na rzecz wzrostu innowacyjności i konkurencyjności opolskiego</w:t>
            </w:r>
          </w:p>
        </w:tc>
      </w:tr>
      <w:tr w:rsidR="00090BF6" w:rsidRPr="00DB38DD" w14:paraId="3BE0E947" w14:textId="77777777" w:rsidTr="006E73CC">
        <w:trPr>
          <w:trHeight w:val="595"/>
        </w:trPr>
        <w:tc>
          <w:tcPr>
            <w:tcW w:w="1045" w:type="pct"/>
            <w:shd w:val="clear" w:color="auto" w:fill="D9D9D9"/>
            <w:noWrap/>
            <w:vAlign w:val="center"/>
          </w:tcPr>
          <w:p w14:paraId="5E7C4E90" w14:textId="77777777" w:rsidR="00090BF6" w:rsidRPr="008B76A6" w:rsidRDefault="00090BF6" w:rsidP="008116F2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8B76A6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955" w:type="pct"/>
            <w:shd w:val="clear" w:color="auto" w:fill="D9D9D9"/>
            <w:vAlign w:val="center"/>
          </w:tcPr>
          <w:p w14:paraId="61DED010" w14:textId="71E3513D" w:rsidR="00090BF6" w:rsidRPr="008B76A6" w:rsidRDefault="000D59FE" w:rsidP="00731C7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 xml:space="preserve">1.7 </w:t>
            </w:r>
            <w:r w:rsidR="00285A8C" w:rsidRPr="008B76A6">
              <w:rPr>
                <w:b/>
                <w:bCs/>
                <w:color w:val="000099"/>
                <w:sz w:val="24"/>
                <w:szCs w:val="24"/>
              </w:rPr>
              <w:t xml:space="preserve">Opolskie konkurencyjne </w:t>
            </w:r>
          </w:p>
        </w:tc>
      </w:tr>
      <w:tr w:rsidR="00090BF6" w14:paraId="5BB7C34D" w14:textId="77777777" w:rsidTr="006E73CC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263F0BE3" w14:textId="0D18F82C" w:rsidR="00090BF6" w:rsidRDefault="00090BF6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konkurencyjnym </w:t>
            </w:r>
          </w:p>
        </w:tc>
      </w:tr>
      <w:tr w:rsidR="00467505" w14:paraId="6A3EA328" w14:textId="77777777" w:rsidTr="006E73CC">
        <w:trPr>
          <w:trHeight w:val="595"/>
        </w:trPr>
        <w:tc>
          <w:tcPr>
            <w:tcW w:w="5000" w:type="pct"/>
            <w:gridSpan w:val="2"/>
            <w:shd w:val="clear" w:color="auto" w:fill="92D050"/>
            <w:noWrap/>
            <w:vAlign w:val="center"/>
          </w:tcPr>
          <w:p w14:paraId="463EEA59" w14:textId="77777777" w:rsidR="00467505" w:rsidRDefault="00467505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Typy przedsięwzięć:</w:t>
            </w:r>
          </w:p>
          <w:p w14:paraId="54B38FA0" w14:textId="77777777" w:rsidR="00467505" w:rsidRDefault="00467505" w:rsidP="00912BFA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Inwestycje w nowoczesne maszyny i urządzenia oraz sprzęt produkcyjny, wartości niematerialne i prawne wraz z doradztwem/szkoleniem,</w:t>
            </w:r>
          </w:p>
          <w:p w14:paraId="7CF0E53D" w14:textId="0005AA47" w:rsidR="00467505" w:rsidRPr="008A00F5" w:rsidRDefault="00467505" w:rsidP="008A00F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w celu wprowadzenia na rynek nowych produktów lub usług – wyłącznie dla MŚP z terenu Subregionu Południowego (powiat: głubczycki, nyski </w:t>
            </w:r>
            <w:r w:rsidR="008A00F5">
              <w:rPr>
                <w:b/>
                <w:color w:val="000099"/>
                <w:sz w:val="24"/>
                <w:szCs w:val="24"/>
                <w:lang w:eastAsia="pl-PL"/>
              </w:rPr>
              <w:br/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i</w:t>
            </w:r>
            <w:r w:rsidR="008A00F5"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8A00F5">
              <w:rPr>
                <w:b/>
                <w:color w:val="000099"/>
                <w:sz w:val="24"/>
                <w:szCs w:val="24"/>
                <w:lang w:eastAsia="pl-PL"/>
              </w:rPr>
              <w:t>prudnicki).</w:t>
            </w:r>
          </w:p>
          <w:p w14:paraId="26CC6C35" w14:textId="61D0898B" w:rsidR="00467505" w:rsidRDefault="00467505" w:rsidP="00467505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Inwestycje w MŚP  zwiększających skalę ich działalności oraz wzrost zasięgu ofert </w:t>
            </w:r>
            <w:r w:rsidRPr="00467505">
              <w:rPr>
                <w:b/>
                <w:color w:val="000099"/>
                <w:sz w:val="24"/>
                <w:szCs w:val="24"/>
                <w:lang w:eastAsia="pl-PL"/>
              </w:rPr>
              <w:t xml:space="preserve">– wyłącznie dla MŚP z terenu Subregionu Południowego (powiat: </w:t>
            </w:r>
          </w:p>
          <w:p w14:paraId="524CE01D" w14:textId="0666D614" w:rsidR="00467505" w:rsidRPr="00912BFA" w:rsidRDefault="006E73CC" w:rsidP="006E73CC">
            <w:pPr>
              <w:autoSpaceDE w:val="0"/>
              <w:autoSpaceDN w:val="0"/>
              <w:adjustRightInd w:val="0"/>
              <w:spacing w:after="0" w:line="240" w:lineRule="auto"/>
              <w:ind w:left="780" w:hanging="142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  </w:t>
            </w:r>
            <w:r w:rsidR="00467505" w:rsidRPr="00912BFA">
              <w:rPr>
                <w:b/>
                <w:color w:val="000099"/>
                <w:sz w:val="24"/>
                <w:szCs w:val="24"/>
                <w:lang w:eastAsia="pl-PL"/>
              </w:rPr>
              <w:t>głubczycki, nyski i prudnicki).</w:t>
            </w:r>
          </w:p>
        </w:tc>
      </w:tr>
      <w:tr w:rsidR="008B76A6" w14:paraId="51544F6A" w14:textId="77777777" w:rsidTr="006E73CC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6470AAC6" w14:textId="4CB697F0" w:rsidR="008B76A6" w:rsidRPr="00A63977" w:rsidRDefault="00323345" w:rsidP="00285A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Kryteria </w:t>
            </w:r>
            <w:r w:rsidRPr="00323345">
              <w:rPr>
                <w:b/>
                <w:color w:val="000099"/>
                <w:sz w:val="24"/>
                <w:szCs w:val="24"/>
                <w:lang w:eastAsia="pl-PL"/>
              </w:rPr>
              <w:t>merytoryczne szczegółowe (TAK/NIE)</w:t>
            </w:r>
          </w:p>
        </w:tc>
      </w:tr>
    </w:tbl>
    <w:p w14:paraId="4B8AF835" w14:textId="77777777" w:rsidR="000167EE" w:rsidRPr="00090BF6" w:rsidRDefault="000167EE" w:rsidP="00090BF6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W w:w="5620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2"/>
        <w:gridCol w:w="2683"/>
        <w:gridCol w:w="9978"/>
        <w:gridCol w:w="2696"/>
      </w:tblGrid>
      <w:tr w:rsidR="007E6722" w:rsidRPr="001015B8" w14:paraId="4253F0C2" w14:textId="686E55B6" w:rsidTr="007E6722">
        <w:trPr>
          <w:cantSplit/>
          <w:trHeight w:val="595"/>
          <w:tblHeader/>
          <w:jc w:val="center"/>
        </w:trPr>
        <w:tc>
          <w:tcPr>
            <w:tcW w:w="118" w:type="pct"/>
            <w:shd w:val="clear" w:color="auto" w:fill="D9D9D9"/>
            <w:noWrap/>
            <w:vAlign w:val="center"/>
          </w:tcPr>
          <w:p w14:paraId="2D60E38B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853" w:type="pct"/>
            <w:shd w:val="clear" w:color="auto" w:fill="D9D9D9"/>
            <w:noWrap/>
            <w:vAlign w:val="center"/>
          </w:tcPr>
          <w:p w14:paraId="7906209D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3172" w:type="pct"/>
            <w:shd w:val="clear" w:color="auto" w:fill="D9D9D9"/>
            <w:vAlign w:val="center"/>
          </w:tcPr>
          <w:p w14:paraId="7B1E0E0F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857" w:type="pct"/>
            <w:shd w:val="clear" w:color="auto" w:fill="D9D9D9"/>
            <w:vAlign w:val="center"/>
          </w:tcPr>
          <w:p w14:paraId="4B0E4C5C" w14:textId="77777777" w:rsidR="007E6722" w:rsidRPr="001015B8" w:rsidRDefault="007E6722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7E6722" w:rsidRPr="0073524C" w14:paraId="3A15FAE5" w14:textId="512A0A57" w:rsidTr="007E6722">
        <w:trPr>
          <w:cantSplit/>
          <w:trHeight w:val="255"/>
          <w:tblHeader/>
          <w:jc w:val="center"/>
        </w:trPr>
        <w:tc>
          <w:tcPr>
            <w:tcW w:w="118" w:type="pct"/>
            <w:shd w:val="clear" w:color="auto" w:fill="F2F2F2"/>
            <w:noWrap/>
            <w:vAlign w:val="bottom"/>
          </w:tcPr>
          <w:p w14:paraId="29482B3A" w14:textId="77777777" w:rsidR="007E6722" w:rsidRPr="0073524C" w:rsidRDefault="007E6722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853" w:type="pct"/>
            <w:shd w:val="clear" w:color="auto" w:fill="F2F2F2"/>
            <w:noWrap/>
            <w:vAlign w:val="bottom"/>
          </w:tcPr>
          <w:p w14:paraId="50AF275C" w14:textId="77777777" w:rsidR="007E6722" w:rsidRPr="0073524C" w:rsidRDefault="007E6722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3172" w:type="pct"/>
            <w:shd w:val="clear" w:color="auto" w:fill="F2F2F2"/>
            <w:vAlign w:val="bottom"/>
          </w:tcPr>
          <w:p w14:paraId="6A85E5B6" w14:textId="21D28D11" w:rsidR="007E6722" w:rsidRPr="0073524C" w:rsidRDefault="007E6722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857" w:type="pct"/>
            <w:shd w:val="clear" w:color="auto" w:fill="F2F2F2"/>
          </w:tcPr>
          <w:p w14:paraId="2DCA6989" w14:textId="77777777" w:rsidR="007E6722" w:rsidRPr="0073524C" w:rsidRDefault="007E6722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7E6722" w:rsidRPr="00796D16" w14:paraId="15E25534" w14:textId="05D1AA1F" w:rsidTr="007E6722">
        <w:trPr>
          <w:trHeight w:val="644"/>
          <w:jc w:val="center"/>
        </w:trPr>
        <w:tc>
          <w:tcPr>
            <w:tcW w:w="118" w:type="pct"/>
            <w:noWrap/>
            <w:vAlign w:val="center"/>
          </w:tcPr>
          <w:p w14:paraId="7846EABF" w14:textId="77777777" w:rsidR="007E6722" w:rsidRPr="00AD701D" w:rsidRDefault="007E6722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53" w:type="pct"/>
            <w:vAlign w:val="center"/>
          </w:tcPr>
          <w:p w14:paraId="53A88D22" w14:textId="45A6DA5F" w:rsidR="007E6722" w:rsidRPr="00AD701D" w:rsidRDefault="007E6722" w:rsidP="00DB38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Projekt spełnia kryteria inwestycji początkowej (jeśli dotyczy)</w:t>
            </w:r>
          </w:p>
        </w:tc>
        <w:tc>
          <w:tcPr>
            <w:tcW w:w="3172" w:type="pct"/>
            <w:vAlign w:val="center"/>
          </w:tcPr>
          <w:p w14:paraId="13E51275" w14:textId="1312CD42" w:rsidR="007E6722" w:rsidRPr="00323345" w:rsidRDefault="007E6722" w:rsidP="008A00F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Kryteria inwestycji początkowej zgodnie z zapisami Rozporządzenia Ministra Funduszy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Polityki Regionalnej z dnia 11 października 2022 r. w sprawie udzielania regionalnej pomocy inwestycyjnej w ramach  programów regionalnych na lata 2021-2027.</w:t>
            </w:r>
          </w:p>
          <w:p w14:paraId="20DAD467" w14:textId="2CBFE4DE" w:rsidR="007E6722" w:rsidRPr="00323345" w:rsidRDefault="007E6722" w:rsidP="005A4F3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Kryterium dotyczy jedynie projektów objętych Regionalną Pomocą Inwestycyjną.</w:t>
            </w:r>
          </w:p>
          <w:p w14:paraId="5FFA8587" w14:textId="06134937" w:rsidR="007E6722" w:rsidRPr="00AD701D" w:rsidRDefault="007E6722" w:rsidP="008A00F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57" w:type="pct"/>
            <w:vAlign w:val="center"/>
          </w:tcPr>
          <w:p w14:paraId="28E1704C" w14:textId="77777777" w:rsidR="007E6722" w:rsidRPr="00AD701D" w:rsidRDefault="007E6722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7E6722" w:rsidRPr="00796D16" w14:paraId="66E97513" w14:textId="37DFBCBA" w:rsidTr="007E6722">
        <w:trPr>
          <w:trHeight w:val="795"/>
          <w:jc w:val="center"/>
        </w:trPr>
        <w:tc>
          <w:tcPr>
            <w:tcW w:w="118" w:type="pct"/>
            <w:noWrap/>
            <w:vAlign w:val="center"/>
          </w:tcPr>
          <w:p w14:paraId="26EB5A7F" w14:textId="201F9B73" w:rsidR="007E6722" w:rsidRPr="00AD701D" w:rsidRDefault="007E6722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853" w:type="pct"/>
            <w:vAlign w:val="center"/>
          </w:tcPr>
          <w:p w14:paraId="2DFB933A" w14:textId="2F081FCF" w:rsidR="007E6722" w:rsidRPr="00AD701D" w:rsidRDefault="007E6722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Lokalizacja projektu</w:t>
            </w:r>
          </w:p>
        </w:tc>
        <w:tc>
          <w:tcPr>
            <w:tcW w:w="3172" w:type="pct"/>
            <w:vAlign w:val="center"/>
          </w:tcPr>
          <w:p w14:paraId="37BD55CC" w14:textId="25FCD49C" w:rsidR="007E6722" w:rsidRDefault="007E6722" w:rsidP="005A4F3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 xml:space="preserve">Projekt realizowany jest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terenie Subregionu Południowego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 xml:space="preserve">, tj. w powiecie nyskim, prudnickim lub głubczyckim, zgodnie z zapisami FEO 2021-2027.  Wsparciem objęte zostaną jedynie projekty realizowane </w:t>
            </w: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Subregionu Południowego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, tj. w powiecie nyskim, prudnickim lub głubczyckim.</w:t>
            </w:r>
          </w:p>
          <w:p w14:paraId="55C54D74" w14:textId="3634DC26" w:rsidR="007E6722" w:rsidRPr="00AD701D" w:rsidRDefault="007E6722" w:rsidP="00295F5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67505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57" w:type="pct"/>
            <w:vAlign w:val="center"/>
          </w:tcPr>
          <w:p w14:paraId="0D394A1D" w14:textId="1C2FD5BC" w:rsidR="007E6722" w:rsidRPr="00AD701D" w:rsidRDefault="007E6722" w:rsidP="00295F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701D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504A17D8" w14:textId="77777777" w:rsidR="00090BF6" w:rsidRDefault="00090BF6"/>
    <w:tbl>
      <w:tblPr>
        <w:tblpPr w:leftFromText="141" w:rightFromText="141" w:vertAnchor="text" w:tblpXSpec="center" w:tblpY="1"/>
        <w:tblOverlap w:val="never"/>
        <w:tblW w:w="1573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730"/>
      </w:tblGrid>
      <w:tr w:rsidR="005A4F35" w:rsidRPr="008B76A6" w14:paraId="2ED4D4AD" w14:textId="77777777" w:rsidTr="005A4F35">
        <w:trPr>
          <w:trHeight w:val="442"/>
        </w:trPr>
        <w:tc>
          <w:tcPr>
            <w:tcW w:w="15730" w:type="dxa"/>
            <w:shd w:val="clear" w:color="auto" w:fill="D9D9D9"/>
            <w:noWrap/>
            <w:vAlign w:val="center"/>
          </w:tcPr>
          <w:p w14:paraId="20F9EBB9" w14:textId="73016C8E" w:rsidR="005A4F35" w:rsidRDefault="005A4F35" w:rsidP="005A4F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lastRenderedPageBreak/>
              <w:t xml:space="preserve">Kryteria </w:t>
            </w:r>
            <w:r w:rsidRPr="00323345">
              <w:rPr>
                <w:b/>
                <w:color w:val="000099"/>
                <w:sz w:val="24"/>
                <w:szCs w:val="24"/>
                <w:lang w:eastAsia="pl-PL"/>
              </w:rPr>
              <w:t>merytoryczne szczegółowe (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punktowane</w:t>
            </w:r>
            <w:r w:rsidRPr="00323345">
              <w:rPr>
                <w:b/>
                <w:color w:val="000099"/>
                <w:sz w:val="24"/>
                <w:szCs w:val="24"/>
                <w:lang w:eastAsia="pl-PL"/>
              </w:rPr>
              <w:t>)</w:t>
            </w:r>
          </w:p>
        </w:tc>
      </w:tr>
    </w:tbl>
    <w:p w14:paraId="7BABFCE7" w14:textId="77777777" w:rsidR="006E73CC" w:rsidRPr="006E73CC" w:rsidRDefault="006E73CC" w:rsidP="006E73CC">
      <w:pPr>
        <w:spacing w:after="0"/>
        <w:rPr>
          <w:sz w:val="2"/>
          <w:szCs w:val="2"/>
        </w:rPr>
      </w:pPr>
    </w:p>
    <w:tbl>
      <w:tblPr>
        <w:tblpPr w:leftFromText="141" w:rightFromText="141" w:vertAnchor="text" w:tblpXSpec="center" w:tblpY="1"/>
        <w:tblOverlap w:val="never"/>
        <w:tblW w:w="1573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"/>
        <w:gridCol w:w="3258"/>
        <w:gridCol w:w="8223"/>
        <w:gridCol w:w="1560"/>
        <w:gridCol w:w="708"/>
        <w:gridCol w:w="1560"/>
      </w:tblGrid>
      <w:tr w:rsidR="007E6722" w:rsidRPr="00E73325" w14:paraId="2AEA143E" w14:textId="297333AA" w:rsidTr="007E6722">
        <w:trPr>
          <w:trHeight w:val="748"/>
          <w:tblHeader/>
        </w:trPr>
        <w:tc>
          <w:tcPr>
            <w:tcW w:w="42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7C45E12D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3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FDC79FB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822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684044C2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049AB79F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  <w:tc>
          <w:tcPr>
            <w:tcW w:w="7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3E830CE1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Waga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4491DD78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0099"/>
              </w:rPr>
              <w:t>Punktacja</w:t>
            </w:r>
          </w:p>
        </w:tc>
      </w:tr>
      <w:tr w:rsidR="007E6722" w:rsidRPr="00E73325" w14:paraId="4355E757" w14:textId="4C7EFCA2" w:rsidTr="007E6722">
        <w:trPr>
          <w:trHeight w:val="255"/>
          <w:tblHeader/>
        </w:trPr>
        <w:tc>
          <w:tcPr>
            <w:tcW w:w="421" w:type="dxa"/>
            <w:shd w:val="clear" w:color="auto" w:fill="F2F2F2" w:themeFill="background1" w:themeFillShade="F2"/>
            <w:noWrap/>
            <w:vAlign w:val="bottom"/>
          </w:tcPr>
          <w:p w14:paraId="71176B95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 w:rsidRPr="00E73325"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3258" w:type="dxa"/>
            <w:shd w:val="clear" w:color="auto" w:fill="F2F2F2" w:themeFill="background1" w:themeFillShade="F2"/>
            <w:noWrap/>
          </w:tcPr>
          <w:p w14:paraId="2A8723E6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8223" w:type="dxa"/>
            <w:shd w:val="clear" w:color="auto" w:fill="F2F2F2" w:themeFill="background1" w:themeFillShade="F2"/>
            <w:vAlign w:val="bottom"/>
          </w:tcPr>
          <w:p w14:paraId="1D78F045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14:paraId="43A64602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14:paraId="5CD88461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14:paraId="795B6C47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2060"/>
                <w:sz w:val="24"/>
                <w:szCs w:val="24"/>
              </w:rPr>
              <w:t>6</w:t>
            </w:r>
          </w:p>
        </w:tc>
      </w:tr>
      <w:tr w:rsidR="007E6722" w:rsidRPr="00E73325" w14:paraId="176CD6D1" w14:textId="50AD76BF" w:rsidTr="007E6722">
        <w:tc>
          <w:tcPr>
            <w:tcW w:w="421" w:type="dxa"/>
            <w:noWrap/>
            <w:vAlign w:val="center"/>
          </w:tcPr>
          <w:p w14:paraId="5198BEB5" w14:textId="77777777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258" w:type="dxa"/>
            <w:vAlign w:val="center"/>
          </w:tcPr>
          <w:p w14:paraId="6BD9183E" w14:textId="50800423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wsparcia 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obszarze Specjalizacji Regionalnych</w:t>
            </w:r>
          </w:p>
        </w:tc>
        <w:tc>
          <w:tcPr>
            <w:tcW w:w="8223" w:type="dxa"/>
            <w:vAlign w:val="center"/>
          </w:tcPr>
          <w:p w14:paraId="0283F159" w14:textId="77777777" w:rsidR="007E6722" w:rsidRPr="0032334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Weryfikacji podlega, czy profil działalności wspieranego przedsiębiorstwa oraz zakres wsparcia wpisuje się w zapisy dokumentu Regionalna Strategia Innowacji Województwa Opolskiego 2030 w odniesieniu do  regionalnych specjalizacji  inteligentnych w województwie opolskim.</w:t>
            </w:r>
          </w:p>
          <w:p w14:paraId="1ACE8953" w14:textId="44508214" w:rsidR="007E6722" w:rsidRPr="0032334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- profil działalności wspieranego przedsiębiorstwa oraz zakres wsparcia nie wpisuje się w regionalne specjalizacje  inteligentne, potencjalne regionalne specjalizacje inteligentne oraz specjalizacje regionalne w województwie opolskim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;</w:t>
            </w:r>
          </w:p>
          <w:p w14:paraId="0076EC28" w14:textId="5847A65D" w:rsidR="007E6722" w:rsidRPr="00323345" w:rsidRDefault="007E6722" w:rsidP="00D9789C">
            <w:pPr>
              <w:rPr>
                <w:rFonts w:asciiTheme="minorHAnsi" w:hAnsiTheme="minorHAnsi" w:cstheme="minorBidi"/>
                <w:sz w:val="24"/>
                <w:szCs w:val="24"/>
                <w:lang w:eastAsia="pl-PL"/>
              </w:rPr>
            </w:pPr>
            <w:r w:rsidRPr="00D9789C">
              <w:rPr>
                <w:rFonts w:asciiTheme="minorHAnsi" w:hAnsiTheme="minorHAnsi" w:cstheme="minorBidi"/>
                <w:sz w:val="24"/>
                <w:szCs w:val="24"/>
                <w:lang w:eastAsia="pl-PL"/>
              </w:rPr>
              <w:t>1 pkt -  profil działalności wspieranego przedsiębiorstwa oraz zakres wsparcia wpisuje się w potencjalne regionalne specjalizacje  inteligentne w województwie opolskim lub specjalizacje regionalne;</w:t>
            </w:r>
          </w:p>
          <w:p w14:paraId="6D4E6B15" w14:textId="7E489E00" w:rsidR="007E6722" w:rsidRPr="0032334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-  profil działalności wspieranego przedsiębiorstwa oraz zakres wsparcia wpisuje się w jedną z regionalnych specjalizacji  inteligentnych 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województwie opolskim.</w:t>
            </w:r>
          </w:p>
          <w:p w14:paraId="746EF971" w14:textId="1FBAE1B2" w:rsidR="007E6722" w:rsidRPr="008A3B52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dofinansowanie i załączników oraz informacji zawartych 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dokumentach rejestrowych wnioskodawcy i/lub wyjaśnień udzielonych przez Wnioskodawcę  oraz na podstawie centralnych rejestrów (CEIDG, REGON, KRS). Pod uwagę brana będzie aktualna na moment ogłoszenia naboru Regionalna Strategia Innowacji Województwa Opolskiego 2030.</w:t>
            </w:r>
          </w:p>
        </w:tc>
        <w:tc>
          <w:tcPr>
            <w:tcW w:w="1560" w:type="dxa"/>
            <w:vAlign w:val="center"/>
          </w:tcPr>
          <w:p w14:paraId="60645052" w14:textId="77777777" w:rsidR="007E6722" w:rsidRPr="006E73CC" w:rsidRDefault="007E6722" w:rsidP="009231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73CC">
              <w:rPr>
                <w:rFonts w:cstheme="minorHAnsi"/>
                <w:sz w:val="24"/>
                <w:szCs w:val="24"/>
              </w:rPr>
              <w:t>Kryterium premiujące</w:t>
            </w:r>
          </w:p>
          <w:p w14:paraId="036A45C4" w14:textId="77777777" w:rsidR="007E6722" w:rsidRPr="00431074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rozstrzygające nr 2</w:t>
            </w:r>
          </w:p>
        </w:tc>
        <w:tc>
          <w:tcPr>
            <w:tcW w:w="708" w:type="dxa"/>
            <w:vAlign w:val="center"/>
          </w:tcPr>
          <w:p w14:paraId="1F0319DE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55040CD3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323345">
              <w:rPr>
                <w:rFonts w:cstheme="minorHAnsi"/>
                <w:sz w:val="24"/>
                <w:szCs w:val="24"/>
                <w:lang w:eastAsia="zh-CN"/>
              </w:rPr>
              <w:t>0-2 pkt</w:t>
            </w:r>
          </w:p>
        </w:tc>
      </w:tr>
      <w:tr w:rsidR="007E6722" w:rsidRPr="00E73325" w14:paraId="70F38C3F" w14:textId="11C2B0E3" w:rsidTr="007E6722">
        <w:tc>
          <w:tcPr>
            <w:tcW w:w="421" w:type="dxa"/>
            <w:noWrap/>
            <w:vAlign w:val="center"/>
          </w:tcPr>
          <w:p w14:paraId="4579D370" w14:textId="77777777" w:rsidR="007E6722" w:rsidRPr="00E7332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58" w:type="dxa"/>
            <w:vAlign w:val="center"/>
          </w:tcPr>
          <w:p w14:paraId="6DB13C69" w14:textId="77777777" w:rsidR="007E6722" w:rsidRPr="00E7332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Poziom przedsiębiorczości na obszarze, na którym planowana jest realizacja projektu</w:t>
            </w:r>
          </w:p>
        </w:tc>
        <w:tc>
          <w:tcPr>
            <w:tcW w:w="8223" w:type="dxa"/>
            <w:vAlign w:val="center"/>
          </w:tcPr>
          <w:p w14:paraId="43678859" w14:textId="77777777" w:rsidR="007E6722" w:rsidRPr="00323345" w:rsidRDefault="007E6722" w:rsidP="009231FB">
            <w:pPr>
              <w:rPr>
                <w:sz w:val="24"/>
              </w:rPr>
            </w:pPr>
            <w:r w:rsidRPr="00323345">
              <w:rPr>
                <w:sz w:val="24"/>
              </w:rPr>
              <w:t>Pod uwagę brane są aktualne dane statystyczne GUS dot.  podmiotów gospodarki narodowej w rejestrze REGON na 1000 ludności.  Poziom przedsiębiorczości obliczany jest dla każdej gminy na obszarze</w:t>
            </w:r>
            <w:r>
              <w:rPr>
                <w:sz w:val="24"/>
              </w:rPr>
              <w:t xml:space="preserve"> Subregionu Południowego (powiat: </w:t>
            </w:r>
            <w:r w:rsidRPr="00435FD8">
              <w:rPr>
                <w:sz w:val="24"/>
              </w:rPr>
              <w:t>głubczycki, nyski i prudnicki)</w:t>
            </w:r>
            <w:r w:rsidRPr="00323345">
              <w:rPr>
                <w:sz w:val="24"/>
              </w:rPr>
              <w:t>, a następnie ustalany jest ranking punktowy zgodnie z porządkiem rosnącym. Odpowiednią ilość pkt przydziela się dla określonego przedziału wartości. Priorytetowo będą traktowane projekty z obszarów o najniższym  poziomie  przedsiębiorczości.</w:t>
            </w:r>
          </w:p>
          <w:p w14:paraId="75E69013" w14:textId="094983AA" w:rsidR="007E6722" w:rsidRPr="00323345" w:rsidRDefault="007E6722" w:rsidP="009231FB">
            <w:pPr>
              <w:rPr>
                <w:sz w:val="24"/>
              </w:rPr>
            </w:pPr>
            <w:r w:rsidRPr="00323345">
              <w:rPr>
                <w:sz w:val="24"/>
              </w:rPr>
              <w:t>Aktualny ranking stanowi załącznik do Regulaminu wyboru projektów w</w:t>
            </w:r>
            <w:r>
              <w:rPr>
                <w:sz w:val="24"/>
              </w:rPr>
              <w:t> </w:t>
            </w:r>
            <w:r w:rsidRPr="00323345">
              <w:rPr>
                <w:sz w:val="24"/>
              </w:rPr>
              <w:t>ramach każdego naboru.</w:t>
            </w:r>
          </w:p>
          <w:p w14:paraId="29322FA0" w14:textId="460E2E0D" w:rsidR="007E6722" w:rsidRPr="00E73325" w:rsidRDefault="007E6722" w:rsidP="009231FB">
            <w:pPr>
              <w:rPr>
                <w:sz w:val="24"/>
              </w:rPr>
            </w:pPr>
            <w:r w:rsidRPr="00323345">
              <w:rPr>
                <w:sz w:val="24"/>
              </w:rPr>
              <w:t>Kryterium  weryfikowane na podstawie zapisów wniosku o</w:t>
            </w:r>
            <w:r>
              <w:rPr>
                <w:sz w:val="24"/>
              </w:rPr>
              <w:t> </w:t>
            </w:r>
            <w:r w:rsidRPr="00323345">
              <w:rPr>
                <w:sz w:val="24"/>
              </w:rPr>
              <w:t>dofinansowanie i załączników oraz aktualnego rankingu na podstawie danych GUS.</w:t>
            </w:r>
          </w:p>
        </w:tc>
        <w:tc>
          <w:tcPr>
            <w:tcW w:w="1560" w:type="dxa"/>
            <w:vAlign w:val="center"/>
          </w:tcPr>
          <w:p w14:paraId="0559D762" w14:textId="77777777" w:rsidR="007E6722" w:rsidRPr="00E73325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708" w:type="dxa"/>
            <w:vAlign w:val="center"/>
          </w:tcPr>
          <w:p w14:paraId="62A87E4D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7502368C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1-4</w:t>
            </w:r>
            <w:r w:rsidRPr="007F0883">
              <w:rPr>
                <w:rFonts w:cstheme="minorHAnsi"/>
                <w:sz w:val="24"/>
                <w:szCs w:val="24"/>
                <w:lang w:eastAsia="zh-CN"/>
              </w:rPr>
              <w:t xml:space="preserve"> pkt</w:t>
            </w:r>
          </w:p>
        </w:tc>
      </w:tr>
      <w:tr w:rsidR="007E6722" w:rsidRPr="00E73325" w14:paraId="0AA99AD5" w14:textId="6778E1B9" w:rsidTr="007E6722">
        <w:trPr>
          <w:trHeight w:val="7893"/>
        </w:trPr>
        <w:tc>
          <w:tcPr>
            <w:tcW w:w="421" w:type="dxa"/>
            <w:noWrap/>
            <w:vAlign w:val="center"/>
          </w:tcPr>
          <w:p w14:paraId="4A584299" w14:textId="77777777" w:rsidR="007E6722" w:rsidRPr="00431074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58" w:type="dxa"/>
            <w:vAlign w:val="center"/>
          </w:tcPr>
          <w:p w14:paraId="36FFCF35" w14:textId="77777777" w:rsidR="007E6722" w:rsidRPr="00431074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Nowoutworzone w wyniku realizacji projektu miejsca pracy</w:t>
            </w:r>
          </w:p>
        </w:tc>
        <w:tc>
          <w:tcPr>
            <w:tcW w:w="8223" w:type="dxa"/>
            <w:vAlign w:val="center"/>
          </w:tcPr>
          <w:p w14:paraId="0EBD061D" w14:textId="77777777" w:rsidR="007E6722" w:rsidRPr="00323345" w:rsidRDefault="007E6722" w:rsidP="008A00F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Projekt przyczyni się do utworzenia w przedsiębiorstwie nowych miejsc pracy. Miejsca pracy przeliczane są na ekwiwalent pełnego czasu pracy (EPC).</w:t>
            </w:r>
          </w:p>
          <w:p w14:paraId="04A0428F" w14:textId="6AFCD5D7" w:rsidR="007E6722" w:rsidRPr="00323345" w:rsidRDefault="007E6722" w:rsidP="006E73C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Praca w niepełnym wymiarze godzin powinna zostać przeliczona na odpowiednią część EPC (np. praca całoroczna w wymiarze pół etatu  0,5 etatu = 0,5 EPC). Pod uwagę brane są wyłącznie nowe etaty stworzone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ramach umowy o pracę.</w:t>
            </w:r>
          </w:p>
          <w:p w14:paraId="13260806" w14:textId="77777777" w:rsidR="007E6722" w:rsidRPr="0032334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W wyniku realizacji projektu powstanie:</w:t>
            </w:r>
          </w:p>
          <w:p w14:paraId="350E77C4" w14:textId="7FA5C2D3" w:rsidR="007E6722" w:rsidRPr="0032334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≤ 0,5 nowego etatu – 0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7156CC7" w14:textId="15300E98" w:rsidR="007E6722" w:rsidRPr="0032334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&gt; 0,5 ≤ 1,0  nowego etatu – 1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BFAC836" w14:textId="6FAC8D18" w:rsidR="007E6722" w:rsidRPr="0032334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&gt; 1,0 ≤ 2,0 nowych etatów – 2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EDFA91E" w14:textId="77777777" w:rsidR="007E6722" w:rsidRPr="00323345" w:rsidRDefault="007E6722" w:rsidP="009231F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23345">
              <w:rPr>
                <w:rFonts w:asciiTheme="minorHAnsi" w:hAnsiTheme="minorHAnsi" w:cstheme="minorHAnsi"/>
                <w:sz w:val="24"/>
                <w:szCs w:val="24"/>
              </w:rPr>
              <w:t>&gt; 2,0 nowych etatów – 3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92B1D43" w14:textId="3BA9A615" w:rsidR="00C0515E" w:rsidRPr="00C0515E" w:rsidRDefault="007E6722" w:rsidP="00C0515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Weryfikacji liczby nowoutworzonych miejsc pracy dokonuje się na podstawie wartości docelowej wskaźnika: </w:t>
            </w:r>
            <w:r w:rsidRPr="00912B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Miejsca pracy utworzone we wspieranych jednostkach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360E7E57" w14:textId="77777777" w:rsidR="007E6722" w:rsidRPr="00323345" w:rsidRDefault="007E6722" w:rsidP="009231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3345">
              <w:rPr>
                <w:rFonts w:cstheme="minorHAnsi"/>
                <w:sz w:val="24"/>
                <w:szCs w:val="24"/>
              </w:rPr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>premiujące</w:t>
            </w:r>
          </w:p>
          <w:p w14:paraId="651191C4" w14:textId="77777777" w:rsidR="007E6722" w:rsidRPr="00431074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323345">
              <w:rPr>
                <w:rFonts w:cstheme="minorHAnsi"/>
                <w:sz w:val="24"/>
                <w:szCs w:val="24"/>
              </w:rPr>
              <w:t>rozstrzygające nr 1</w:t>
            </w:r>
          </w:p>
        </w:tc>
        <w:tc>
          <w:tcPr>
            <w:tcW w:w="708" w:type="dxa"/>
            <w:vAlign w:val="center"/>
          </w:tcPr>
          <w:p w14:paraId="6E11F4F3" w14:textId="77777777" w:rsidR="007E6722" w:rsidRPr="00431074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41EF0BEF" w14:textId="3AC4E66A" w:rsidR="007E6722" w:rsidRPr="00431074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C340D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C340D6">
              <w:rPr>
                <w:rFonts w:asciiTheme="minorHAnsi" w:hAnsiTheme="minorHAnsi" w:cstheme="minorHAnsi"/>
                <w:sz w:val="24"/>
                <w:szCs w:val="24"/>
              </w:rPr>
              <w:t xml:space="preserve"> pkt</w:t>
            </w:r>
          </w:p>
        </w:tc>
      </w:tr>
      <w:tr w:rsidR="007E6722" w:rsidRPr="00E73325" w14:paraId="4D0AE82A" w14:textId="5AE59F8C" w:rsidTr="007E6722">
        <w:trPr>
          <w:trHeight w:val="8177"/>
        </w:trPr>
        <w:tc>
          <w:tcPr>
            <w:tcW w:w="421" w:type="dxa"/>
            <w:noWrap/>
            <w:vAlign w:val="center"/>
          </w:tcPr>
          <w:p w14:paraId="27A58A0A" w14:textId="77777777" w:rsidR="007E6722" w:rsidRPr="00E7332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58" w:type="dxa"/>
            <w:vAlign w:val="center"/>
          </w:tcPr>
          <w:p w14:paraId="14AD5F01" w14:textId="77777777" w:rsidR="007E6722" w:rsidRPr="00E73325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Gotowość projektu do realizacji</w:t>
            </w:r>
          </w:p>
        </w:tc>
        <w:tc>
          <w:tcPr>
            <w:tcW w:w="8223" w:type="dxa"/>
            <w:vAlign w:val="center"/>
          </w:tcPr>
          <w:p w14:paraId="5A2253C5" w14:textId="77777777" w:rsidR="007E6722" w:rsidRPr="00C8301F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W ramach kryterium będzie sprawdzane na jakim etapie przygotowania znajduje się projekt:</w:t>
            </w:r>
          </w:p>
          <w:p w14:paraId="71F4A56C" w14:textId="5154ADA1" w:rsidR="007E6722" w:rsidRPr="006E73CC" w:rsidRDefault="007E6722" w:rsidP="006E73CC">
            <w:pPr>
              <w:pStyle w:val="Akapitzlist"/>
              <w:numPr>
                <w:ilvl w:val="0"/>
                <w:numId w:val="24"/>
              </w:numPr>
              <w:spacing w:after="0"/>
              <w:ind w:left="220" w:hanging="2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E73CC">
              <w:rPr>
                <w:rFonts w:asciiTheme="minorHAnsi" w:hAnsiTheme="minorHAnsi" w:cstheme="minorHAnsi"/>
                <w:sz w:val="24"/>
                <w:szCs w:val="24"/>
              </w:rPr>
              <w:t>rojekt wymaga uzyskania określonych prawem decyzji budowlanych, decyzji środowiskowych, pozwoleń, licencji, uzgodnień, ale jeszcze ich nie uzyskał – 0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17B1FE9" w14:textId="3895DC78" w:rsidR="007E6722" w:rsidRPr="006E73CC" w:rsidRDefault="007E6722" w:rsidP="006E73CC">
            <w:pPr>
              <w:pStyle w:val="Akapitzlist"/>
              <w:numPr>
                <w:ilvl w:val="0"/>
                <w:numId w:val="24"/>
              </w:numPr>
              <w:spacing w:after="0"/>
              <w:ind w:left="220" w:hanging="2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E73CC">
              <w:rPr>
                <w:rFonts w:asciiTheme="minorHAnsi" w:hAnsiTheme="minorHAnsi" w:cstheme="minorHAnsi"/>
                <w:sz w:val="24"/>
                <w:szCs w:val="24"/>
              </w:rPr>
              <w:t>rojekt wymaga uzyskania określonych prawem decyzji budowlanych, decyzji środowiskowych, pozwoleń, licencji, uzgodnień i posiada wszystkie ostateczne wymagane prawem decyzje budowlane, decyzje środowiskowe, pozwolenia, licencje, uzgodnienia dla całego zakresu inwestycji – 2 pkt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B841B43" w14:textId="77777777" w:rsidR="007E6722" w:rsidRPr="006E73CC" w:rsidRDefault="007E6722" w:rsidP="006E73C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73CC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1616CF94" w14:textId="51F579F6" w:rsidR="007E6722" w:rsidRPr="006E73CC" w:rsidRDefault="007E6722" w:rsidP="006E73CC">
            <w:pPr>
              <w:pStyle w:val="Akapitzlist"/>
              <w:numPr>
                <w:ilvl w:val="0"/>
                <w:numId w:val="24"/>
              </w:numPr>
              <w:spacing w:after="120"/>
              <w:ind w:left="220" w:hanging="2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E73CC">
              <w:rPr>
                <w:rFonts w:asciiTheme="minorHAnsi" w:hAnsiTheme="minorHAnsi" w:cstheme="minorHAnsi"/>
                <w:sz w:val="24"/>
                <w:szCs w:val="24"/>
              </w:rPr>
              <w:t>rojekt nie wymaga uzyskania określonych prawem decyzji budowlanych, decyzji środowiskowych, pozwoleń, licencji, uzgodnień – 2 pkt.</w:t>
            </w:r>
          </w:p>
          <w:p w14:paraId="04262C86" w14:textId="77777777" w:rsidR="007E6722" w:rsidRDefault="007E6722" w:rsidP="009231F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Punkty w ramach kryterium zostaną przyznane jeżeli ostateczna decyzja budowlana, decyzja środowiskowa, pozwolenie, licencja, uzgodnienie zostanie dołączone do rozpoczęcia etapu oceny merytorycznej.</w:t>
            </w:r>
          </w:p>
          <w:p w14:paraId="4786B64B" w14:textId="3DB6F47D" w:rsidR="007E6722" w:rsidRPr="00E73325" w:rsidRDefault="007E6722" w:rsidP="009231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560" w:type="dxa"/>
            <w:vAlign w:val="center"/>
          </w:tcPr>
          <w:p w14:paraId="160C3C22" w14:textId="77777777" w:rsidR="007E6722" w:rsidRPr="00E73325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708" w:type="dxa"/>
            <w:vAlign w:val="center"/>
          </w:tcPr>
          <w:p w14:paraId="6E6B9281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2FE05ADF" w14:textId="77777777" w:rsidR="007E6722" w:rsidRPr="00E73325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 lub 2 pkt</w:t>
            </w:r>
          </w:p>
        </w:tc>
      </w:tr>
      <w:tr w:rsidR="007E6722" w:rsidRPr="00E73325" w14:paraId="45DFA340" w14:textId="0157428C" w:rsidTr="007E6722">
        <w:tc>
          <w:tcPr>
            <w:tcW w:w="421" w:type="dxa"/>
            <w:noWrap/>
            <w:vAlign w:val="center"/>
          </w:tcPr>
          <w:p w14:paraId="36797437" w14:textId="77777777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58" w:type="dxa"/>
            <w:vAlign w:val="center"/>
          </w:tcPr>
          <w:p w14:paraId="6C6C3D77" w14:textId="77777777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Miejsce realizacji projektu</w:t>
            </w:r>
          </w:p>
        </w:tc>
        <w:tc>
          <w:tcPr>
            <w:tcW w:w="8223" w:type="dxa"/>
            <w:vAlign w:val="center"/>
          </w:tcPr>
          <w:p w14:paraId="0F7EF61E" w14:textId="77777777" w:rsidR="007E6722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W 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mach kryterium będzie weryfikowane miejsce realizacji projektu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4B4A85B" w14:textId="77777777" w:rsidR="007E6722" w:rsidRPr="00C8301F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0 pkt – pozostałe obszary;</w:t>
            </w:r>
          </w:p>
          <w:p w14:paraId="03DAF72B" w14:textId="76A5CAFF" w:rsidR="007E6722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 xml:space="preserve">1 pkt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obszar na terenie subregionu południowego zidentyfikowany jako </w:t>
            </w:r>
            <w:r w:rsidRPr="00203D3D">
              <w:rPr>
                <w:rFonts w:asciiTheme="minorHAnsi" w:hAnsiTheme="minorHAnsi" w:cstheme="minorHAnsi"/>
                <w:sz w:val="24"/>
                <w:szCs w:val="24"/>
              </w:rPr>
              <w:t xml:space="preserve">OSI krajowe (tj. miasta średnie tracące funkcje </w:t>
            </w:r>
            <w:proofErr w:type="spellStart"/>
            <w:r w:rsidRPr="00203D3D">
              <w:rPr>
                <w:rFonts w:asciiTheme="minorHAnsi" w:hAnsiTheme="minorHAnsi" w:cstheme="minorHAnsi"/>
                <w:sz w:val="24"/>
                <w:szCs w:val="24"/>
              </w:rPr>
              <w:t>społeczno</w:t>
            </w:r>
            <w:proofErr w:type="spellEnd"/>
            <w:r w:rsidRPr="00203D3D">
              <w:rPr>
                <w:rFonts w:asciiTheme="minorHAnsi" w:hAnsiTheme="minorHAnsi" w:cstheme="minorHAnsi"/>
                <w:sz w:val="24"/>
                <w:szCs w:val="24"/>
              </w:rPr>
              <w:t xml:space="preserve"> - gospodarcze oraz obszary zagrożone trwałą marginalizacją</w:t>
            </w:r>
            <w:r>
              <w:t xml:space="preserve">) </w:t>
            </w:r>
            <w:r w:rsidRPr="00203D3D">
              <w:rPr>
                <w:rFonts w:asciiTheme="minorHAnsi" w:hAnsiTheme="minorHAnsi" w:cstheme="minorHAnsi"/>
                <w:sz w:val="24"/>
                <w:szCs w:val="24"/>
              </w:rPr>
              <w:t>-  zostały one wskazane w Krajowej Strategii Rozwoju Regionalnego 2030.</w:t>
            </w:r>
          </w:p>
          <w:p w14:paraId="55D52543" w14:textId="37D3454B" w:rsidR="007E6722" w:rsidRPr="007F0883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560" w:type="dxa"/>
            <w:vAlign w:val="center"/>
          </w:tcPr>
          <w:p w14:paraId="6D034E6F" w14:textId="77777777" w:rsidR="007E6722" w:rsidRPr="00E73325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708" w:type="dxa"/>
            <w:vAlign w:val="center"/>
          </w:tcPr>
          <w:p w14:paraId="32E4E306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11E629D6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 lub 1 pkt</w:t>
            </w:r>
          </w:p>
        </w:tc>
      </w:tr>
      <w:tr w:rsidR="007E6722" w:rsidRPr="00E73325" w14:paraId="26FED442" w14:textId="2F6C25A3" w:rsidTr="007E6722">
        <w:tc>
          <w:tcPr>
            <w:tcW w:w="421" w:type="dxa"/>
            <w:noWrap/>
            <w:vAlign w:val="center"/>
          </w:tcPr>
          <w:p w14:paraId="2F86A40B" w14:textId="77777777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258" w:type="dxa"/>
            <w:vAlign w:val="center"/>
          </w:tcPr>
          <w:p w14:paraId="5B501302" w14:textId="6066681A" w:rsidR="007E6722" w:rsidRPr="007F0883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Realizacja projektu przyczyni się do wdrożenia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przedsiębiorstwie innowacji produktowych i/lub innowacji procesów biznesowych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zakresie produkcji wyrobów lub usług</w:t>
            </w:r>
          </w:p>
        </w:tc>
        <w:tc>
          <w:tcPr>
            <w:tcW w:w="8223" w:type="dxa"/>
            <w:vAlign w:val="center"/>
          </w:tcPr>
          <w:p w14:paraId="29F62BD7" w14:textId="231BD6B2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Ocenie podlega, czy realizacja projektu przyczyni się do wprowadzenia w przedsiębiorstwie innowacji produktowych i/lub innowacji procesów biznesowych w zakresie produkcji wyrobów lub usług, który stanowi podstawową funkcję przedsiębiorstwa polegającą na produkcji wyrobów i usług.</w:t>
            </w:r>
          </w:p>
          <w:p w14:paraId="63FC9119" w14:textId="189B9B33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Do oceny kryterium przyjmuje się definicję innowacji określoną w podręczniku OECD Podręcznik Oslo, zgodnie z którą przez innowację należy rozumieć nowy lub ulepszony produkt lub proces (lub ich połączenie), który różni się znacząco od poprzednich produktów lub procesów danej jednostki i który został udostępniony potencjalnym użytkownikom (produkt) lub wprowadzony do użytku przez jednostkę (proces).</w:t>
            </w:r>
          </w:p>
          <w:p w14:paraId="6B575C8C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Zgodnie z ww. definicją:</w:t>
            </w:r>
          </w:p>
          <w:p w14:paraId="1186595A" w14:textId="2B9D485D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innowacja produktowa - to nowy lub ulepszony wyrób lub usługa, które różnią się znacząco od dotychczasowych wyrobów lub usług przedsiębiorstwa i które zostały wprowadzone na rynek.</w:t>
            </w:r>
          </w:p>
          <w:p w14:paraId="6A1E9A26" w14:textId="7F4A9C19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innowacja w procesie biznesowym - to nowy lub ulepszony proces biznesowy dla jednej lub wielu funkcji biznesowych, który różni się znacząco od dotychczasowych procesów biznesowych przedsiębiorstwa i który został wprowadzony do użytku przez przedsiębiorstwo.</w:t>
            </w:r>
          </w:p>
          <w:p w14:paraId="330C9672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Z kolei produkcja wyrobów lub usług stanowi podstawową funkcję przedsiębiorstwa. Działalność polegająca na przekształcaniu nakładów pracy i środków w wyroby lub usługi, w tym prace inżynieryjne i związane z nimi testy techniczne, analizy i certyfikacja jako wsparcie produkcji.</w:t>
            </w:r>
          </w:p>
          <w:p w14:paraId="04F469CF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Ponadto, innowacjami nie są przede wszystkim:</w:t>
            </w:r>
          </w:p>
          <w:p w14:paraId="2F8BEE3C" w14:textId="5609D2BD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rutynowe czynności;</w:t>
            </w:r>
          </w:p>
          <w:p w14:paraId="263F4AF1" w14:textId="0EEA8878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naprawianie błędów, na przykład w konstrukcji;</w:t>
            </w:r>
          </w:p>
          <w:p w14:paraId="652ABC8A" w14:textId="3F3A1B02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serwisowanie, badanie jakości, utrzymywanie produktów, usług i procesów, jak również aktualizowanie wersji, na przykład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programie komputerowym;</w:t>
            </w:r>
          </w:p>
          <w:p w14:paraId="338FF4CB" w14:textId="12907056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proste usprawnienia i proste zmiany, na przykład koloru;</w:t>
            </w:r>
          </w:p>
          <w:p w14:paraId="34AED07C" w14:textId="08A711CD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sezonowe zmiany i dostosowania, na przykład nowe kolekcje ubiorów;</w:t>
            </w:r>
          </w:p>
          <w:p w14:paraId="3180FC7D" w14:textId="3C7BA07F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działalność artystyczna, o ile nie jest związana z wzornictwem przemysłowym;</w:t>
            </w:r>
          </w:p>
          <w:p w14:paraId="3C632047" w14:textId="4FF6ACAD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przystosowywanie, konfigurację do potrzeb klienta, na przykład system informatyczny z konfigurowanymi modułami, o ile nie wnosi to znaczących zmian, wobec standardowej oferty dla innych klientów;</w:t>
            </w:r>
          </w:p>
          <w:p w14:paraId="41DA079A" w14:textId="766387EA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produkty, które zostały zakupione gotowe, nawet jeśli są innowacyjne, a przedsiębiorca tylko je dalej sprzedaje;</w:t>
            </w:r>
          </w:p>
          <w:p w14:paraId="6462878B" w14:textId="42158114" w:rsidR="007E6722" w:rsidRPr="005A4F35" w:rsidRDefault="007E6722" w:rsidP="005A4F35">
            <w:pPr>
              <w:pStyle w:val="Akapitzlist"/>
              <w:numPr>
                <w:ilvl w:val="0"/>
                <w:numId w:val="24"/>
              </w:num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zmiana strategii cenowej, czy na przykład w plasowaniu produktu, w oparciu o metody, które były wcześniej stosowane przez firmę.</w:t>
            </w:r>
          </w:p>
          <w:p w14:paraId="32F6CF37" w14:textId="3F851374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Pod uwagę nie są brane innowacje, których efektem są wyłącznie rozwiązania stanowiące innowację w procesie biznesowym, pełniące funkcje wspierające, takie jak dystrybucja i  logistyka, marketing, sprzedaż i usługi posprzedażowe, usługi w zakresie technologii informacyjno-komunikacyjnych dla przedsiębiorstwa, funkcje administracyjne i zarządcze, usługi inżynieryjne i pokrewne usługi techniczne na rzecz przedsiębiorstwa oraz rozwój produktów i procesów biznesowych. Mogą one stanowić wartość dodaną projektu, lecz nie jedyny jego rezultat.</w:t>
            </w:r>
          </w:p>
          <w:p w14:paraId="41784427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 xml:space="preserve">0 pkt – projekt nie jest innowacyjny; </w:t>
            </w:r>
          </w:p>
          <w:p w14:paraId="3DDB5779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1 pkt – innowacja co najmniej na poziomie przedsiębiorstwa;</w:t>
            </w:r>
          </w:p>
          <w:p w14:paraId="22B7857D" w14:textId="77777777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>2 pkt – innowacja co najmniej na poziomie regionu (województwo opolskie).</w:t>
            </w:r>
          </w:p>
          <w:p w14:paraId="7588DFA7" w14:textId="3D840814" w:rsidR="007E6722" w:rsidRPr="005A4F35" w:rsidRDefault="007E6722" w:rsidP="009231FB">
            <w:pPr>
              <w:tabs>
                <w:tab w:val="left" w:pos="297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5A4F35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i załączników i/lub wyjaśnień udzielonych przez Wnioskodawcę.  Oceniane mogą być również inne dokumenty potwierdzające innowacyjność projektu, w tym </w:t>
            </w:r>
            <w:r w:rsidRPr="005A4F3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badanie stanu techniki, czy opinia wystawiona przez polską lub analogiczną zagraniczną jednostkę naukową.</w:t>
            </w:r>
          </w:p>
        </w:tc>
        <w:tc>
          <w:tcPr>
            <w:tcW w:w="1560" w:type="dxa"/>
            <w:vAlign w:val="center"/>
          </w:tcPr>
          <w:p w14:paraId="1EF9024E" w14:textId="77777777" w:rsidR="007E6722" w:rsidRPr="00E73325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261139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708" w:type="dxa"/>
            <w:vAlign w:val="center"/>
          </w:tcPr>
          <w:p w14:paraId="51DA2EE5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3A45E8C0" w14:textId="77777777" w:rsidR="007E6722" w:rsidRPr="007F0883" w:rsidRDefault="007E6722" w:rsidP="009231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0-2 pkt</w:t>
            </w:r>
          </w:p>
        </w:tc>
      </w:tr>
      <w:tr w:rsidR="007E6722" w:rsidRPr="00E73325" w14:paraId="11DF410E" w14:textId="2E1755ED" w:rsidTr="007E6722">
        <w:tc>
          <w:tcPr>
            <w:tcW w:w="421" w:type="dxa"/>
            <w:noWrap/>
            <w:vAlign w:val="center"/>
          </w:tcPr>
          <w:p w14:paraId="1921BEE5" w14:textId="77777777" w:rsidR="007E6722" w:rsidRDefault="007E6722" w:rsidP="009231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58" w:type="dxa"/>
            <w:vAlign w:val="center"/>
          </w:tcPr>
          <w:p w14:paraId="3EA525A4" w14:textId="77777777" w:rsidR="007E6722" w:rsidRPr="00C8301F" w:rsidRDefault="007E6722" w:rsidP="00923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8301F">
              <w:rPr>
                <w:rFonts w:asciiTheme="minorHAnsi" w:hAnsiTheme="minorHAnsi" w:cstheme="minorHAnsi"/>
                <w:sz w:val="24"/>
                <w:szCs w:val="24"/>
              </w:rPr>
              <w:t>Wkład własny wyższy od minimalnego</w:t>
            </w:r>
          </w:p>
        </w:tc>
        <w:tc>
          <w:tcPr>
            <w:tcW w:w="8223" w:type="dxa"/>
            <w:vAlign w:val="center"/>
          </w:tcPr>
          <w:p w14:paraId="3DE414C6" w14:textId="49481603" w:rsidR="007E6722" w:rsidRPr="008A00F5" w:rsidRDefault="007E6722" w:rsidP="006A22F8">
            <w:pPr>
              <w:spacing w:after="12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Wkład własny wyższy od minimalnego o:</w:t>
            </w:r>
          </w:p>
          <w:p w14:paraId="71FDD1EF" w14:textId="77777777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 xml:space="preserve">≤5 </w:t>
            </w:r>
            <w:proofErr w:type="spellStart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</w:t>
            </w:r>
            <w:proofErr w:type="spellEnd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. -  0  pkt;</w:t>
            </w:r>
          </w:p>
          <w:p w14:paraId="316BAE25" w14:textId="77777777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 xml:space="preserve">&gt;5 ≤ 10 </w:t>
            </w:r>
            <w:proofErr w:type="spellStart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</w:t>
            </w:r>
            <w:proofErr w:type="spellEnd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. - 1 pkt;</w:t>
            </w:r>
          </w:p>
          <w:p w14:paraId="0B047FB6" w14:textId="77777777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 xml:space="preserve">&gt;10 ≤ 15 </w:t>
            </w:r>
            <w:proofErr w:type="spellStart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</w:t>
            </w:r>
            <w:proofErr w:type="spellEnd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. - 2 pkt;</w:t>
            </w:r>
          </w:p>
          <w:p w14:paraId="46A41A6C" w14:textId="77777777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 xml:space="preserve">&gt;15 ≤ 20 </w:t>
            </w:r>
            <w:proofErr w:type="spellStart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</w:t>
            </w:r>
            <w:proofErr w:type="spellEnd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. - 3 pkt;</w:t>
            </w:r>
          </w:p>
          <w:p w14:paraId="45393963" w14:textId="6D81472E" w:rsidR="007E6722" w:rsidRPr="008A00F5" w:rsidRDefault="007E6722" w:rsidP="006A22F8">
            <w:pPr>
              <w:spacing w:after="120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 xml:space="preserve">&gt; 20 </w:t>
            </w:r>
            <w:proofErr w:type="spellStart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</w:t>
            </w:r>
            <w:proofErr w:type="spellEnd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. - 4 pkt.</w:t>
            </w:r>
          </w:p>
          <w:p w14:paraId="32986918" w14:textId="1394A49A" w:rsidR="007E6722" w:rsidRPr="006A22F8" w:rsidRDefault="007E6722" w:rsidP="006A22F8">
            <w:pPr>
              <w:snapToGrid w:val="0"/>
              <w:spacing w:after="12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</w:pPr>
            <w:proofErr w:type="spellStart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p.p</w:t>
            </w:r>
            <w:proofErr w:type="spellEnd"/>
            <w:r w:rsidRPr="008A00F5">
              <w:rPr>
                <w:rFonts w:asciiTheme="minorHAnsi" w:eastAsiaTheme="minorHAnsi" w:hAnsiTheme="minorHAnsi" w:cstheme="minorBidi"/>
                <w:sz w:val="24"/>
                <w:szCs w:val="24"/>
                <w:lang w:eastAsia="pl-PL"/>
              </w:rPr>
              <w:t>. – punkt procentowy</w:t>
            </w:r>
          </w:p>
          <w:p w14:paraId="1C047970" w14:textId="77777777" w:rsidR="007E6722" w:rsidRPr="00C8301F" w:rsidRDefault="007E6722" w:rsidP="006A22F8">
            <w:pPr>
              <w:snapToGrid w:val="0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35FD8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72B38E9B" w14:textId="77777777" w:rsidR="007E6722" w:rsidRPr="00261139" w:rsidRDefault="007E6722" w:rsidP="009231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8301F">
              <w:rPr>
                <w:rFonts w:cstheme="minorHAnsi"/>
                <w:sz w:val="24"/>
                <w:szCs w:val="24"/>
              </w:rPr>
              <w:t>Kryterium premiujące</w:t>
            </w:r>
          </w:p>
        </w:tc>
        <w:tc>
          <w:tcPr>
            <w:tcW w:w="708" w:type="dxa"/>
            <w:vAlign w:val="center"/>
          </w:tcPr>
          <w:p w14:paraId="6D72D71A" w14:textId="77777777" w:rsidR="007E6722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69B2F7F4" w14:textId="77777777" w:rsidR="007E6722" w:rsidRPr="00C8301F" w:rsidRDefault="007E6722" w:rsidP="009231FB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8301F">
              <w:rPr>
                <w:rFonts w:cstheme="minorHAnsi"/>
                <w:sz w:val="24"/>
                <w:szCs w:val="24"/>
                <w:lang w:eastAsia="zh-CN"/>
              </w:rPr>
              <w:t>0 – 4 pkt</w:t>
            </w:r>
          </w:p>
        </w:tc>
      </w:tr>
    </w:tbl>
    <w:p w14:paraId="36661C8E" w14:textId="77777777" w:rsidR="006E73CC" w:rsidRDefault="006E73CC"/>
    <w:p w14:paraId="04919CA7" w14:textId="77777777" w:rsidR="006E73CC" w:rsidRDefault="006E73CC"/>
    <w:p w14:paraId="0BC5AC69" w14:textId="77777777" w:rsidR="006E73CC" w:rsidRDefault="006E73CC"/>
    <w:sectPr w:rsidR="006E73CC" w:rsidSect="00912BFA">
      <w:footerReference w:type="default" r:id="rId9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61E0" w14:textId="77777777" w:rsidR="00E63DDC" w:rsidRDefault="00E63DDC" w:rsidP="001A07DF">
      <w:pPr>
        <w:spacing w:after="0" w:line="240" w:lineRule="auto"/>
      </w:pPr>
      <w:r>
        <w:separator/>
      </w:r>
    </w:p>
  </w:endnote>
  <w:endnote w:type="continuationSeparator" w:id="0">
    <w:p w14:paraId="526B1ED6" w14:textId="77777777" w:rsidR="00E63DDC" w:rsidRDefault="00E63DDC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8322853"/>
      <w:docPartObj>
        <w:docPartGallery w:val="Page Numbers (Bottom of Page)"/>
        <w:docPartUnique/>
      </w:docPartObj>
    </w:sdtPr>
    <w:sdtEndPr/>
    <w:sdtContent>
      <w:p w14:paraId="77D0EA17" w14:textId="77777777" w:rsidR="001A07DF" w:rsidRDefault="001A0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722">
          <w:rPr>
            <w:noProof/>
          </w:rPr>
          <w:t>9</w:t>
        </w:r>
        <w:r>
          <w:fldChar w:fldCharType="end"/>
        </w:r>
      </w:p>
    </w:sdtContent>
  </w:sdt>
  <w:p w14:paraId="24B17AEE" w14:textId="77777777" w:rsidR="001A07DF" w:rsidRDefault="001A0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24E6" w14:textId="77777777" w:rsidR="00E63DDC" w:rsidRDefault="00E63DDC" w:rsidP="001A07DF">
      <w:pPr>
        <w:spacing w:after="0" w:line="240" w:lineRule="auto"/>
      </w:pPr>
      <w:r>
        <w:separator/>
      </w:r>
    </w:p>
  </w:footnote>
  <w:footnote w:type="continuationSeparator" w:id="0">
    <w:p w14:paraId="588AE4A5" w14:textId="77777777" w:rsidR="00E63DDC" w:rsidRDefault="00E63DDC" w:rsidP="001A0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7E5"/>
    <w:multiLevelType w:val="hybridMultilevel"/>
    <w:tmpl w:val="8FB4734E"/>
    <w:lvl w:ilvl="0" w:tplc="DCBA8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2FFC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F11"/>
    <w:multiLevelType w:val="hybridMultilevel"/>
    <w:tmpl w:val="B3CC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460F4"/>
    <w:multiLevelType w:val="hybridMultilevel"/>
    <w:tmpl w:val="9532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E1804"/>
    <w:multiLevelType w:val="hybridMultilevel"/>
    <w:tmpl w:val="EB34E7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225D7"/>
    <w:multiLevelType w:val="hybridMultilevel"/>
    <w:tmpl w:val="E34218DC"/>
    <w:lvl w:ilvl="0" w:tplc="D6EA70E0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04E32"/>
    <w:multiLevelType w:val="hybridMultilevel"/>
    <w:tmpl w:val="7D42B3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6D5B32"/>
    <w:multiLevelType w:val="multilevel"/>
    <w:tmpl w:val="B26C89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827B4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32ACC"/>
    <w:multiLevelType w:val="hybridMultilevel"/>
    <w:tmpl w:val="82E4CF38"/>
    <w:lvl w:ilvl="0" w:tplc="B0A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C2CC3"/>
    <w:multiLevelType w:val="hybridMultilevel"/>
    <w:tmpl w:val="F5A43E6A"/>
    <w:lvl w:ilvl="0" w:tplc="502AAE8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5282E"/>
    <w:multiLevelType w:val="hybridMultilevel"/>
    <w:tmpl w:val="B3CE81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6749DF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DB73EB"/>
    <w:multiLevelType w:val="hybridMultilevel"/>
    <w:tmpl w:val="A34C130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17020"/>
    <w:multiLevelType w:val="hybridMultilevel"/>
    <w:tmpl w:val="B3CC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96A74"/>
    <w:multiLevelType w:val="hybridMultilevel"/>
    <w:tmpl w:val="2A4270E4"/>
    <w:lvl w:ilvl="0" w:tplc="50A2EFAC">
      <w:start w:val="1"/>
      <w:numFmt w:val="decimal"/>
      <w:lvlText w:val="%1)"/>
      <w:lvlJc w:val="left"/>
      <w:pPr>
        <w:ind w:left="84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07F0753"/>
    <w:multiLevelType w:val="hybridMultilevel"/>
    <w:tmpl w:val="5B0A0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88054">
    <w:abstractNumId w:val="13"/>
  </w:num>
  <w:num w:numId="2" w16cid:durableId="875310416">
    <w:abstractNumId w:val="9"/>
  </w:num>
  <w:num w:numId="3" w16cid:durableId="1669869757">
    <w:abstractNumId w:val="7"/>
  </w:num>
  <w:num w:numId="4" w16cid:durableId="1747796395">
    <w:abstractNumId w:val="2"/>
  </w:num>
  <w:num w:numId="5" w16cid:durableId="1657803428">
    <w:abstractNumId w:val="1"/>
  </w:num>
  <w:num w:numId="6" w16cid:durableId="182521571">
    <w:abstractNumId w:val="12"/>
  </w:num>
  <w:num w:numId="7" w16cid:durableId="1688945739">
    <w:abstractNumId w:val="22"/>
  </w:num>
  <w:num w:numId="8" w16cid:durableId="1363558571">
    <w:abstractNumId w:val="23"/>
  </w:num>
  <w:num w:numId="9" w16cid:durableId="1183394678">
    <w:abstractNumId w:val="15"/>
  </w:num>
  <w:num w:numId="10" w16cid:durableId="1252009338">
    <w:abstractNumId w:val="10"/>
  </w:num>
  <w:num w:numId="11" w16cid:durableId="1693609903">
    <w:abstractNumId w:val="16"/>
  </w:num>
  <w:num w:numId="12" w16cid:durableId="1853641429">
    <w:abstractNumId w:val="11"/>
  </w:num>
  <w:num w:numId="13" w16cid:durableId="1363633341">
    <w:abstractNumId w:val="8"/>
  </w:num>
  <w:num w:numId="14" w16cid:durableId="1857572999">
    <w:abstractNumId w:val="17"/>
  </w:num>
  <w:num w:numId="15" w16cid:durableId="1351952426">
    <w:abstractNumId w:val="19"/>
  </w:num>
  <w:num w:numId="16" w16cid:durableId="22437815">
    <w:abstractNumId w:val="0"/>
  </w:num>
  <w:num w:numId="17" w16cid:durableId="463809647">
    <w:abstractNumId w:val="6"/>
  </w:num>
  <w:num w:numId="18" w16cid:durableId="368796228">
    <w:abstractNumId w:val="20"/>
  </w:num>
  <w:num w:numId="19" w16cid:durableId="2113621638">
    <w:abstractNumId w:val="3"/>
  </w:num>
  <w:num w:numId="20" w16cid:durableId="196167763">
    <w:abstractNumId w:val="18"/>
  </w:num>
  <w:num w:numId="21" w16cid:durableId="1151337262">
    <w:abstractNumId w:val="14"/>
  </w:num>
  <w:num w:numId="22" w16cid:durableId="1554123370">
    <w:abstractNumId w:val="4"/>
  </w:num>
  <w:num w:numId="23" w16cid:durableId="212810783">
    <w:abstractNumId w:val="21"/>
  </w:num>
  <w:num w:numId="24" w16cid:durableId="891692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167EE"/>
    <w:rsid w:val="000015C7"/>
    <w:rsid w:val="000069C6"/>
    <w:rsid w:val="00007054"/>
    <w:rsid w:val="00010179"/>
    <w:rsid w:val="00015440"/>
    <w:rsid w:val="000167EE"/>
    <w:rsid w:val="00022A9E"/>
    <w:rsid w:val="0002685C"/>
    <w:rsid w:val="000279E5"/>
    <w:rsid w:val="000349DD"/>
    <w:rsid w:val="00054930"/>
    <w:rsid w:val="00061230"/>
    <w:rsid w:val="0009022D"/>
    <w:rsid w:val="00090BF6"/>
    <w:rsid w:val="000A3C38"/>
    <w:rsid w:val="000C3110"/>
    <w:rsid w:val="000D047E"/>
    <w:rsid w:val="000D5197"/>
    <w:rsid w:val="000D59FE"/>
    <w:rsid w:val="000E6B18"/>
    <w:rsid w:val="00125CA8"/>
    <w:rsid w:val="001465A3"/>
    <w:rsid w:val="0016686A"/>
    <w:rsid w:val="00181F16"/>
    <w:rsid w:val="001A07DF"/>
    <w:rsid w:val="001C312B"/>
    <w:rsid w:val="001F0E8E"/>
    <w:rsid w:val="00203D3D"/>
    <w:rsid w:val="0021023B"/>
    <w:rsid w:val="002248D2"/>
    <w:rsid w:val="00226B7A"/>
    <w:rsid w:val="0023169B"/>
    <w:rsid w:val="00271368"/>
    <w:rsid w:val="00285A8C"/>
    <w:rsid w:val="00295A98"/>
    <w:rsid w:val="00295F5B"/>
    <w:rsid w:val="00297AB2"/>
    <w:rsid w:val="002A3EFF"/>
    <w:rsid w:val="002B3DF7"/>
    <w:rsid w:val="002B4AA8"/>
    <w:rsid w:val="002D7FC0"/>
    <w:rsid w:val="002E1AB5"/>
    <w:rsid w:val="003161AF"/>
    <w:rsid w:val="003228EA"/>
    <w:rsid w:val="00323345"/>
    <w:rsid w:val="003246C0"/>
    <w:rsid w:val="00326E2F"/>
    <w:rsid w:val="0034548C"/>
    <w:rsid w:val="003514CF"/>
    <w:rsid w:val="00364BDF"/>
    <w:rsid w:val="003724BB"/>
    <w:rsid w:val="00385B66"/>
    <w:rsid w:val="0039352F"/>
    <w:rsid w:val="003B3147"/>
    <w:rsid w:val="00432098"/>
    <w:rsid w:val="00432804"/>
    <w:rsid w:val="0043569F"/>
    <w:rsid w:val="00435FD8"/>
    <w:rsid w:val="00445899"/>
    <w:rsid w:val="00450368"/>
    <w:rsid w:val="004609ED"/>
    <w:rsid w:val="0046626D"/>
    <w:rsid w:val="00467505"/>
    <w:rsid w:val="0047170E"/>
    <w:rsid w:val="00474959"/>
    <w:rsid w:val="00491E55"/>
    <w:rsid w:val="004A403E"/>
    <w:rsid w:val="004B43F0"/>
    <w:rsid w:val="004D45DF"/>
    <w:rsid w:val="004F3AC2"/>
    <w:rsid w:val="005007BA"/>
    <w:rsid w:val="00515CE9"/>
    <w:rsid w:val="0051701B"/>
    <w:rsid w:val="00517FD7"/>
    <w:rsid w:val="00522A83"/>
    <w:rsid w:val="00526E68"/>
    <w:rsid w:val="00534A17"/>
    <w:rsid w:val="005464CC"/>
    <w:rsid w:val="00570C3B"/>
    <w:rsid w:val="0058424F"/>
    <w:rsid w:val="00595A99"/>
    <w:rsid w:val="005A4F35"/>
    <w:rsid w:val="005B4ADA"/>
    <w:rsid w:val="005B730B"/>
    <w:rsid w:val="005C3E72"/>
    <w:rsid w:val="005C48D4"/>
    <w:rsid w:val="005D2592"/>
    <w:rsid w:val="005E0748"/>
    <w:rsid w:val="005E26F0"/>
    <w:rsid w:val="00636590"/>
    <w:rsid w:val="00663588"/>
    <w:rsid w:val="0068586D"/>
    <w:rsid w:val="006935F8"/>
    <w:rsid w:val="006A112A"/>
    <w:rsid w:val="006A22F8"/>
    <w:rsid w:val="006C2979"/>
    <w:rsid w:val="006E73CC"/>
    <w:rsid w:val="006F5C9E"/>
    <w:rsid w:val="0070241F"/>
    <w:rsid w:val="00705812"/>
    <w:rsid w:val="00731EAB"/>
    <w:rsid w:val="00735FC6"/>
    <w:rsid w:val="00745059"/>
    <w:rsid w:val="00754A5B"/>
    <w:rsid w:val="00777BAC"/>
    <w:rsid w:val="007807A0"/>
    <w:rsid w:val="0078417B"/>
    <w:rsid w:val="007928B2"/>
    <w:rsid w:val="00796D16"/>
    <w:rsid w:val="007A1D07"/>
    <w:rsid w:val="007A5F52"/>
    <w:rsid w:val="007E6722"/>
    <w:rsid w:val="007F7FE0"/>
    <w:rsid w:val="008116F2"/>
    <w:rsid w:val="0082557A"/>
    <w:rsid w:val="008260D5"/>
    <w:rsid w:val="0084209E"/>
    <w:rsid w:val="00860616"/>
    <w:rsid w:val="008649E2"/>
    <w:rsid w:val="008845A9"/>
    <w:rsid w:val="00884B29"/>
    <w:rsid w:val="00893CF0"/>
    <w:rsid w:val="008972E8"/>
    <w:rsid w:val="008A00F5"/>
    <w:rsid w:val="008A1AFB"/>
    <w:rsid w:val="008B76A6"/>
    <w:rsid w:val="008E20E7"/>
    <w:rsid w:val="00912BFA"/>
    <w:rsid w:val="009141DD"/>
    <w:rsid w:val="00924A0E"/>
    <w:rsid w:val="00932D39"/>
    <w:rsid w:val="00935E9E"/>
    <w:rsid w:val="00941188"/>
    <w:rsid w:val="009463CB"/>
    <w:rsid w:val="00950757"/>
    <w:rsid w:val="0096066E"/>
    <w:rsid w:val="009979EC"/>
    <w:rsid w:val="009A2387"/>
    <w:rsid w:val="009C7E30"/>
    <w:rsid w:val="009E411B"/>
    <w:rsid w:val="009F2AA4"/>
    <w:rsid w:val="009F4BD4"/>
    <w:rsid w:val="00A1747B"/>
    <w:rsid w:val="00A366AA"/>
    <w:rsid w:val="00A60B9D"/>
    <w:rsid w:val="00A66B5E"/>
    <w:rsid w:val="00A805BD"/>
    <w:rsid w:val="00AA542B"/>
    <w:rsid w:val="00AB11E7"/>
    <w:rsid w:val="00AB5D10"/>
    <w:rsid w:val="00AD701D"/>
    <w:rsid w:val="00AD721E"/>
    <w:rsid w:val="00AE63A6"/>
    <w:rsid w:val="00B038CA"/>
    <w:rsid w:val="00B13A23"/>
    <w:rsid w:val="00B63D34"/>
    <w:rsid w:val="00B74458"/>
    <w:rsid w:val="00BA5491"/>
    <w:rsid w:val="00BC0E57"/>
    <w:rsid w:val="00BD693A"/>
    <w:rsid w:val="00C00FFA"/>
    <w:rsid w:val="00C0515E"/>
    <w:rsid w:val="00C340D6"/>
    <w:rsid w:val="00C43E21"/>
    <w:rsid w:val="00C478AC"/>
    <w:rsid w:val="00C61820"/>
    <w:rsid w:val="00C7274C"/>
    <w:rsid w:val="00C8301F"/>
    <w:rsid w:val="00CA142C"/>
    <w:rsid w:val="00CB3C2C"/>
    <w:rsid w:val="00CD69B1"/>
    <w:rsid w:val="00CE565D"/>
    <w:rsid w:val="00D030D3"/>
    <w:rsid w:val="00D174B1"/>
    <w:rsid w:val="00D34D77"/>
    <w:rsid w:val="00D36159"/>
    <w:rsid w:val="00D36B35"/>
    <w:rsid w:val="00D42C2C"/>
    <w:rsid w:val="00D67258"/>
    <w:rsid w:val="00D9789C"/>
    <w:rsid w:val="00DA2073"/>
    <w:rsid w:val="00DA3F9D"/>
    <w:rsid w:val="00DA4EB4"/>
    <w:rsid w:val="00DB38DD"/>
    <w:rsid w:val="00DC1739"/>
    <w:rsid w:val="00DE30F3"/>
    <w:rsid w:val="00DF397F"/>
    <w:rsid w:val="00E04D4B"/>
    <w:rsid w:val="00E050DD"/>
    <w:rsid w:val="00E149C2"/>
    <w:rsid w:val="00E16824"/>
    <w:rsid w:val="00E364B4"/>
    <w:rsid w:val="00E62E44"/>
    <w:rsid w:val="00E63DDC"/>
    <w:rsid w:val="00E77DBA"/>
    <w:rsid w:val="00E95BC8"/>
    <w:rsid w:val="00EA7719"/>
    <w:rsid w:val="00EB35E0"/>
    <w:rsid w:val="00EB626D"/>
    <w:rsid w:val="00EB74A4"/>
    <w:rsid w:val="00EE0114"/>
    <w:rsid w:val="00EE0272"/>
    <w:rsid w:val="00F010B9"/>
    <w:rsid w:val="00F44938"/>
    <w:rsid w:val="00F52E25"/>
    <w:rsid w:val="00F56FE1"/>
    <w:rsid w:val="00F71D0A"/>
    <w:rsid w:val="00F7218F"/>
    <w:rsid w:val="00F85D19"/>
    <w:rsid w:val="00FD061F"/>
    <w:rsid w:val="00FD2520"/>
    <w:rsid w:val="00FD7626"/>
    <w:rsid w:val="00FE1E4D"/>
    <w:rsid w:val="2147407D"/>
    <w:rsid w:val="3D53C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E182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Wykres,Akapit z listą1"/>
    <w:basedOn w:val="Normalny"/>
    <w:link w:val="AkapitzlistZnak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8DD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B38DD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3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Wykres Znak,Akapit z listą1 Znak"/>
    <w:link w:val="Akapitzlist"/>
    <w:uiPriority w:val="34"/>
    <w:qFormat/>
    <w:locked/>
    <w:rsid w:val="00285A8C"/>
    <w:rPr>
      <w:rFonts w:ascii="Calibri" w:eastAsia="Times New Roman" w:hAnsi="Calibri" w:cs="Times New Roman"/>
    </w:rPr>
  </w:style>
  <w:style w:type="paragraph" w:customStyle="1" w:styleId="Default">
    <w:name w:val="Default"/>
    <w:rsid w:val="008B76A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E9E054-CFBC-442D-9D97-76989C80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1527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2024-01-19T07:32:00Z</dcterms:created>
  <dcterms:modified xsi:type="dcterms:W3CDTF">2024-01-19T13:18:00Z</dcterms:modified>
</cp:coreProperties>
</file>