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7A32" w14:textId="77777777" w:rsidR="0018164B" w:rsidRDefault="00342139">
      <w:pPr>
        <w:jc w:val="center"/>
        <w:rPr>
          <w:b/>
          <w:color w:val="000099"/>
          <w:sz w:val="36"/>
          <w:szCs w:val="36"/>
        </w:rPr>
      </w:pPr>
      <w:r>
        <w:rPr>
          <w:noProof/>
          <w:lang w:eastAsia="pl-PL"/>
        </w:rPr>
        <w:drawing>
          <wp:inline distT="0" distB="0" distL="0" distR="0" wp14:anchorId="51CE32C7" wp14:editId="57017586">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908925" cy="810895"/>
                    </a:xfrm>
                    <a:prstGeom prst="rect">
                      <a:avLst/>
                    </a:prstGeom>
                  </pic:spPr>
                </pic:pic>
              </a:graphicData>
            </a:graphic>
          </wp:inline>
        </w:drawing>
      </w:r>
    </w:p>
    <w:p w14:paraId="049FC6C8" w14:textId="77777777" w:rsidR="0018164B" w:rsidRDefault="0018164B">
      <w:pPr>
        <w:rPr>
          <w:b/>
          <w:color w:val="000099"/>
          <w:sz w:val="36"/>
          <w:szCs w:val="36"/>
        </w:rPr>
      </w:pPr>
    </w:p>
    <w:p w14:paraId="1E25BEB4" w14:textId="77777777" w:rsidR="00C54D61" w:rsidRDefault="00C54D61" w:rsidP="00C54D61">
      <w:pPr>
        <w:tabs>
          <w:tab w:val="center" w:pos="4536"/>
          <w:tab w:val="right" w:pos="9072"/>
        </w:tabs>
        <w:spacing w:after="0" w:line="240" w:lineRule="auto"/>
        <w:ind w:left="1276" w:hanging="1134"/>
        <w:jc w:val="both"/>
        <w:rPr>
          <w:rFonts w:ascii="Calibri" w:hAnsi="Calibri" w:cs="Calibri"/>
          <w:sz w:val="20"/>
          <w:szCs w:val="20"/>
        </w:rPr>
      </w:pPr>
      <w:r>
        <w:rPr>
          <w:rFonts w:ascii="Calibri" w:hAnsi="Calibri" w:cs="Calibri"/>
          <w:sz w:val="20"/>
          <w:szCs w:val="20"/>
        </w:rPr>
        <w:t xml:space="preserve">Załącznik do Uchwały </w:t>
      </w:r>
    </w:p>
    <w:p w14:paraId="2911B7BD" w14:textId="70DBB8A8" w:rsidR="00C54D61" w:rsidRDefault="00C54D61" w:rsidP="00C54D61">
      <w:pPr>
        <w:tabs>
          <w:tab w:val="center" w:pos="4536"/>
          <w:tab w:val="right" w:pos="9072"/>
        </w:tabs>
        <w:spacing w:after="0" w:line="240" w:lineRule="auto"/>
        <w:ind w:left="1276" w:hanging="1134"/>
        <w:jc w:val="both"/>
        <w:rPr>
          <w:rFonts w:ascii="Calibri" w:hAnsi="Calibri" w:cs="Calibri"/>
          <w:sz w:val="20"/>
          <w:szCs w:val="20"/>
        </w:rPr>
      </w:pPr>
      <w:r>
        <w:rPr>
          <w:rFonts w:ascii="Calibri" w:hAnsi="Calibri" w:cs="Calibri"/>
          <w:sz w:val="20"/>
          <w:szCs w:val="20"/>
        </w:rPr>
        <w:t xml:space="preserve">Nr </w:t>
      </w:r>
      <w:r>
        <w:rPr>
          <w:rFonts w:ascii="Calibri" w:hAnsi="Calibri" w:cs="Calibri"/>
          <w:sz w:val="20"/>
          <w:szCs w:val="20"/>
        </w:rPr>
        <w:t>59</w:t>
      </w:r>
      <w:r>
        <w:rPr>
          <w:rFonts w:ascii="Calibri" w:hAnsi="Calibri" w:cs="Calibri"/>
          <w:sz w:val="20"/>
          <w:szCs w:val="20"/>
        </w:rPr>
        <w:t xml:space="preserve"> KM FEO 2021-2027</w:t>
      </w:r>
    </w:p>
    <w:p w14:paraId="27C297EA" w14:textId="77777777" w:rsidR="00C54D61" w:rsidRDefault="00C54D61" w:rsidP="00C54D61">
      <w:pPr>
        <w:tabs>
          <w:tab w:val="center" w:pos="4536"/>
          <w:tab w:val="right" w:pos="9072"/>
        </w:tabs>
        <w:spacing w:after="0" w:line="240" w:lineRule="auto"/>
        <w:ind w:left="1276" w:hanging="1134"/>
        <w:jc w:val="both"/>
        <w:rPr>
          <w:rFonts w:ascii="Calibri" w:hAnsi="Calibri" w:cs="Calibri"/>
          <w:sz w:val="20"/>
          <w:szCs w:val="20"/>
        </w:rPr>
      </w:pPr>
      <w:r>
        <w:rPr>
          <w:rFonts w:ascii="Calibri" w:hAnsi="Calibri" w:cs="Calibri"/>
          <w:sz w:val="20"/>
          <w:szCs w:val="20"/>
        </w:rPr>
        <w:t>z dnia 14 września 2023 r.</w:t>
      </w:r>
    </w:p>
    <w:p w14:paraId="00998861" w14:textId="77777777" w:rsidR="0018164B" w:rsidRDefault="0018164B">
      <w:pPr>
        <w:rPr>
          <w:b/>
          <w:color w:val="000099"/>
          <w:sz w:val="36"/>
          <w:szCs w:val="36"/>
        </w:rPr>
      </w:pPr>
    </w:p>
    <w:p w14:paraId="4767A37C" w14:textId="77777777" w:rsidR="0018164B" w:rsidRDefault="0018164B">
      <w:pPr>
        <w:spacing w:after="0"/>
        <w:jc w:val="center"/>
        <w:rPr>
          <w:b/>
          <w:color w:val="000099"/>
          <w:sz w:val="36"/>
          <w:szCs w:val="36"/>
          <w:lang w:eastAsia="pl-PL"/>
        </w:rPr>
      </w:pPr>
    </w:p>
    <w:p w14:paraId="6DF799B5" w14:textId="77777777" w:rsidR="0018164B" w:rsidRPr="003C789D" w:rsidRDefault="00342139" w:rsidP="00D94C14">
      <w:pPr>
        <w:spacing w:after="0"/>
        <w:rPr>
          <w:b/>
          <w:color w:val="000099"/>
          <w:sz w:val="40"/>
          <w:szCs w:val="40"/>
          <w:lang w:eastAsia="pl-PL"/>
        </w:rPr>
      </w:pPr>
      <w:r w:rsidRPr="003C789D">
        <w:rPr>
          <w:b/>
          <w:color w:val="000099"/>
          <w:sz w:val="40"/>
          <w:szCs w:val="40"/>
          <w:lang w:eastAsia="pl-PL"/>
        </w:rPr>
        <w:t>PRIORYTET 3 FEO 2021-2027</w:t>
      </w:r>
    </w:p>
    <w:p w14:paraId="4ED0AC30" w14:textId="77777777" w:rsidR="0018164B" w:rsidRPr="003C789D" w:rsidRDefault="0018164B" w:rsidP="00D94C14">
      <w:pPr>
        <w:spacing w:after="0"/>
        <w:rPr>
          <w:b/>
          <w:color w:val="000099"/>
          <w:sz w:val="40"/>
          <w:szCs w:val="40"/>
          <w:lang w:eastAsia="pl-PL"/>
        </w:rPr>
      </w:pPr>
    </w:p>
    <w:p w14:paraId="366A9BF5" w14:textId="4C9707B7" w:rsidR="0018164B" w:rsidRPr="003C789D" w:rsidRDefault="00342139" w:rsidP="00D94C14">
      <w:pPr>
        <w:spacing w:after="0"/>
        <w:rPr>
          <w:b/>
          <w:color w:val="000099"/>
          <w:sz w:val="40"/>
          <w:szCs w:val="40"/>
          <w:lang w:eastAsia="pl-PL"/>
        </w:rPr>
      </w:pPr>
      <w:r w:rsidRPr="003C789D">
        <w:rPr>
          <w:b/>
          <w:color w:val="000099"/>
          <w:sz w:val="40"/>
          <w:szCs w:val="40"/>
          <w:lang w:eastAsia="pl-PL"/>
        </w:rPr>
        <w:t>DZIAŁANIE 3.</w:t>
      </w:r>
      <w:r w:rsidR="00B40700" w:rsidRPr="003C789D">
        <w:rPr>
          <w:b/>
          <w:color w:val="000099"/>
          <w:sz w:val="40"/>
          <w:szCs w:val="40"/>
          <w:lang w:eastAsia="pl-PL"/>
        </w:rPr>
        <w:t>2</w:t>
      </w:r>
      <w:r w:rsidRPr="003C789D">
        <w:rPr>
          <w:b/>
          <w:color w:val="000099"/>
          <w:sz w:val="40"/>
          <w:szCs w:val="40"/>
          <w:lang w:eastAsia="pl-PL"/>
        </w:rPr>
        <w:t xml:space="preserve"> </w:t>
      </w:r>
      <w:r w:rsidR="00B40700" w:rsidRPr="003C789D">
        <w:rPr>
          <w:b/>
          <w:color w:val="000099"/>
          <w:sz w:val="40"/>
          <w:szCs w:val="40"/>
          <w:lang w:eastAsia="pl-PL"/>
        </w:rPr>
        <w:t>MOBILNOŚĆ MIEJSKA W ZIT</w:t>
      </w:r>
    </w:p>
    <w:p w14:paraId="32EDDCC6" w14:textId="77777777" w:rsidR="0018164B" w:rsidRPr="003C789D" w:rsidRDefault="0018164B" w:rsidP="00D94C14">
      <w:pPr>
        <w:spacing w:after="0"/>
        <w:rPr>
          <w:color w:val="000099"/>
          <w:sz w:val="40"/>
          <w:szCs w:val="40"/>
          <w:lang w:eastAsia="pl-PL"/>
        </w:rPr>
      </w:pPr>
    </w:p>
    <w:p w14:paraId="6A3B5871" w14:textId="77777777" w:rsidR="0018164B" w:rsidRPr="003C789D" w:rsidRDefault="00342139" w:rsidP="00D94C14">
      <w:pPr>
        <w:spacing w:after="0"/>
        <w:rPr>
          <w:b/>
          <w:color w:val="000099"/>
          <w:sz w:val="40"/>
          <w:szCs w:val="40"/>
          <w:lang w:eastAsia="pl-PL"/>
        </w:rPr>
      </w:pPr>
      <w:r w:rsidRPr="003C789D">
        <w:rPr>
          <w:b/>
          <w:color w:val="000099"/>
          <w:sz w:val="40"/>
          <w:szCs w:val="40"/>
          <w:lang w:eastAsia="pl-PL"/>
        </w:rPr>
        <w:t>KRYTERIA MERYTORYCZNE SZCZEGÓŁOWE</w:t>
      </w:r>
    </w:p>
    <w:p w14:paraId="01BCCFF4" w14:textId="77777777" w:rsidR="0018164B" w:rsidRPr="003C789D" w:rsidRDefault="0018164B" w:rsidP="00D94C14">
      <w:pPr>
        <w:rPr>
          <w:b/>
          <w:sz w:val="40"/>
          <w:szCs w:val="40"/>
        </w:rPr>
      </w:pPr>
    </w:p>
    <w:p w14:paraId="5B3FEE4F" w14:textId="3EA638AC" w:rsidR="00D94C14" w:rsidRPr="003C789D" w:rsidRDefault="00D94C14" w:rsidP="00D94C14">
      <w:pPr>
        <w:rPr>
          <w:b/>
          <w:sz w:val="40"/>
          <w:szCs w:val="40"/>
        </w:rPr>
      </w:pPr>
      <w:r w:rsidRPr="003C789D">
        <w:rPr>
          <w:b/>
          <w:color w:val="000099"/>
          <w:sz w:val="40"/>
          <w:szCs w:val="40"/>
        </w:rPr>
        <w:t>Opole, 2023 r.</w:t>
      </w:r>
    </w:p>
    <w:p w14:paraId="43828281" w14:textId="77777777" w:rsidR="0018164B" w:rsidRDefault="0018164B">
      <w:pPr>
        <w:jc w:val="center"/>
        <w:rPr>
          <w:b/>
          <w:sz w:val="36"/>
          <w:szCs w:val="36"/>
        </w:rPr>
      </w:pPr>
    </w:p>
    <w:p w14:paraId="00D577EB" w14:textId="77777777" w:rsidR="0018164B" w:rsidRDefault="0018164B">
      <w:pPr>
        <w:jc w:val="center"/>
        <w:rPr>
          <w:b/>
          <w:sz w:val="36"/>
          <w:szCs w:val="36"/>
        </w:rPr>
      </w:pPr>
    </w:p>
    <w:tbl>
      <w:tblPr>
        <w:tblW w:w="5774" w:type="pct"/>
        <w:tblInd w:w="-1139" w:type="dxa"/>
        <w:tblLayout w:type="fixed"/>
        <w:tblCellMar>
          <w:left w:w="70" w:type="dxa"/>
          <w:right w:w="70" w:type="dxa"/>
        </w:tblCellMar>
        <w:tblLook w:val="00A0" w:firstRow="1" w:lastRow="0" w:firstColumn="1" w:lastColumn="0" w:noHBand="0" w:noVBand="0"/>
      </w:tblPr>
      <w:tblGrid>
        <w:gridCol w:w="4112"/>
        <w:gridCol w:w="12048"/>
      </w:tblGrid>
      <w:tr w:rsidR="00284496" w14:paraId="55D1E1C3" w14:textId="77777777" w:rsidTr="00D3558E">
        <w:trPr>
          <w:trHeight w:val="595"/>
        </w:trPr>
        <w:tc>
          <w:tcPr>
            <w:tcW w:w="4112"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1D6198B1" w14:textId="77777777" w:rsidR="00284496" w:rsidRDefault="00284496" w:rsidP="00D3558E">
            <w:pPr>
              <w:widowControl w:val="0"/>
              <w:spacing w:after="0"/>
              <w:rPr>
                <w:b/>
                <w:bCs/>
                <w:color w:val="000099"/>
                <w:sz w:val="24"/>
                <w:szCs w:val="24"/>
              </w:rPr>
            </w:pPr>
            <w:r>
              <w:rPr>
                <w:b/>
                <w:color w:val="000099"/>
                <w:sz w:val="24"/>
                <w:szCs w:val="24"/>
              </w:rPr>
              <w:t>Priorytet</w:t>
            </w:r>
          </w:p>
        </w:tc>
        <w:tc>
          <w:tcPr>
            <w:tcW w:w="12048"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442B8D20" w14:textId="77777777" w:rsidR="00284496" w:rsidRDefault="00284496" w:rsidP="00D3558E">
            <w:pPr>
              <w:widowControl w:val="0"/>
              <w:spacing w:after="0"/>
              <w:rPr>
                <w:b/>
                <w:bCs/>
                <w:color w:val="000099"/>
                <w:sz w:val="24"/>
                <w:szCs w:val="24"/>
              </w:rPr>
            </w:pPr>
            <w:r>
              <w:rPr>
                <w:b/>
                <w:color w:val="000099"/>
                <w:sz w:val="24"/>
                <w:szCs w:val="24"/>
                <w:lang w:eastAsia="pl-PL"/>
              </w:rPr>
              <w:t>III Fundusze Europejskie na zrównoważony transport miejski województwa opolskiego</w:t>
            </w:r>
          </w:p>
        </w:tc>
      </w:tr>
      <w:tr w:rsidR="00284496" w14:paraId="7A4654EB" w14:textId="77777777" w:rsidTr="00D3558E">
        <w:trPr>
          <w:trHeight w:val="595"/>
        </w:trPr>
        <w:tc>
          <w:tcPr>
            <w:tcW w:w="4112"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6FCEC736" w14:textId="77777777" w:rsidR="00284496" w:rsidRDefault="00284496" w:rsidP="00D3558E">
            <w:pPr>
              <w:widowControl w:val="0"/>
              <w:spacing w:after="0" w:line="240" w:lineRule="auto"/>
              <w:ind w:right="34"/>
              <w:jc w:val="both"/>
              <w:rPr>
                <w:b/>
                <w:color w:val="000099"/>
                <w:sz w:val="24"/>
                <w:szCs w:val="24"/>
              </w:rPr>
            </w:pPr>
            <w:r>
              <w:rPr>
                <w:b/>
                <w:color w:val="000099"/>
                <w:sz w:val="24"/>
                <w:szCs w:val="24"/>
              </w:rPr>
              <w:t>Działanie</w:t>
            </w:r>
          </w:p>
        </w:tc>
        <w:tc>
          <w:tcPr>
            <w:tcW w:w="12048"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6ABD467F" w14:textId="4CAD81AE" w:rsidR="00284496" w:rsidRDefault="00284496" w:rsidP="00D3558E">
            <w:pPr>
              <w:widowControl w:val="0"/>
              <w:spacing w:after="0" w:line="240" w:lineRule="auto"/>
              <w:jc w:val="both"/>
              <w:rPr>
                <w:b/>
                <w:color w:val="000099"/>
                <w:sz w:val="24"/>
                <w:szCs w:val="24"/>
                <w:lang w:eastAsia="pl-PL"/>
              </w:rPr>
            </w:pPr>
            <w:r>
              <w:rPr>
                <w:b/>
                <w:color w:val="000099"/>
                <w:sz w:val="24"/>
                <w:szCs w:val="24"/>
                <w:lang w:eastAsia="pl-PL"/>
              </w:rPr>
              <w:t>3.</w:t>
            </w:r>
            <w:r w:rsidR="00B40700">
              <w:rPr>
                <w:b/>
                <w:color w:val="000099"/>
                <w:sz w:val="24"/>
                <w:szCs w:val="24"/>
                <w:lang w:eastAsia="pl-PL"/>
              </w:rPr>
              <w:t>2</w:t>
            </w:r>
            <w:r>
              <w:rPr>
                <w:b/>
                <w:color w:val="000099"/>
                <w:sz w:val="24"/>
                <w:szCs w:val="24"/>
                <w:lang w:eastAsia="pl-PL"/>
              </w:rPr>
              <w:t xml:space="preserve"> </w:t>
            </w:r>
            <w:r w:rsidR="00B40700">
              <w:rPr>
                <w:b/>
                <w:color w:val="000099"/>
                <w:sz w:val="24"/>
                <w:szCs w:val="24"/>
                <w:lang w:eastAsia="pl-PL"/>
              </w:rPr>
              <w:t>Mobilność miejska w ZIT</w:t>
            </w:r>
          </w:p>
        </w:tc>
      </w:tr>
      <w:tr w:rsidR="00DF0035" w:rsidRPr="008F0963" w14:paraId="1E989023" w14:textId="77777777" w:rsidTr="00DF0035">
        <w:trPr>
          <w:trHeight w:val="227"/>
        </w:trPr>
        <w:tc>
          <w:tcPr>
            <w:tcW w:w="16160" w:type="dxa"/>
            <w:gridSpan w:val="2"/>
            <w:tcBorders>
              <w:top w:val="single" w:sz="4" w:space="0" w:color="92D050"/>
              <w:left w:val="single" w:sz="4" w:space="0" w:color="92D050"/>
              <w:bottom w:val="single" w:sz="4" w:space="0" w:color="92D050"/>
              <w:right w:val="single" w:sz="4" w:space="0" w:color="92D050"/>
            </w:tcBorders>
            <w:shd w:val="clear" w:color="auto" w:fill="CCFF66"/>
            <w:vAlign w:val="center"/>
          </w:tcPr>
          <w:p w14:paraId="7734B2F4" w14:textId="3630B673" w:rsidR="00284496" w:rsidRDefault="00284496" w:rsidP="00D3558E">
            <w:pPr>
              <w:widowControl w:val="0"/>
              <w:spacing w:after="0"/>
              <w:rPr>
                <w:b/>
                <w:color w:val="000099"/>
                <w:sz w:val="24"/>
                <w:szCs w:val="24"/>
                <w:lang w:eastAsia="pl-PL"/>
              </w:rPr>
            </w:pPr>
            <w:r>
              <w:rPr>
                <w:b/>
                <w:color w:val="000099"/>
                <w:sz w:val="24"/>
                <w:szCs w:val="24"/>
                <w:lang w:eastAsia="pl-PL"/>
              </w:rPr>
              <w:t xml:space="preserve">Projekty w trybie </w:t>
            </w:r>
            <w:r w:rsidRPr="00865FC3">
              <w:rPr>
                <w:b/>
                <w:color w:val="000099"/>
                <w:sz w:val="24"/>
                <w:szCs w:val="24"/>
                <w:lang w:eastAsia="pl-PL"/>
              </w:rPr>
              <w:t>konkurencyjnym</w:t>
            </w:r>
            <w:r>
              <w:rPr>
                <w:b/>
                <w:color w:val="000099"/>
                <w:sz w:val="24"/>
                <w:szCs w:val="24"/>
                <w:lang w:eastAsia="pl-PL"/>
              </w:rPr>
              <w:t xml:space="preserve"> </w:t>
            </w:r>
            <w:r w:rsidR="00485E2C">
              <w:rPr>
                <w:b/>
                <w:color w:val="000099"/>
                <w:sz w:val="24"/>
                <w:szCs w:val="24"/>
                <w:lang w:eastAsia="pl-PL"/>
              </w:rPr>
              <w:t>/ niekonkurencyjnym</w:t>
            </w:r>
          </w:p>
          <w:p w14:paraId="3BC236F2" w14:textId="77777777" w:rsidR="00284496" w:rsidRDefault="00284496" w:rsidP="00D3558E">
            <w:pPr>
              <w:widowControl w:val="0"/>
              <w:spacing w:after="0"/>
              <w:rPr>
                <w:b/>
                <w:color w:val="000099"/>
                <w:sz w:val="24"/>
                <w:szCs w:val="24"/>
                <w:lang w:eastAsia="pl-PL"/>
              </w:rPr>
            </w:pPr>
            <w:r>
              <w:rPr>
                <w:b/>
                <w:color w:val="000099"/>
                <w:sz w:val="24"/>
                <w:szCs w:val="24"/>
                <w:lang w:eastAsia="pl-PL"/>
              </w:rPr>
              <w:t>Typ przedsięwzięcia:</w:t>
            </w:r>
          </w:p>
          <w:p w14:paraId="24C2C8F1" w14:textId="77777777" w:rsidR="00284496" w:rsidRDefault="00284496" w:rsidP="00D3558E">
            <w:pPr>
              <w:pStyle w:val="Akapitzlist"/>
              <w:widowControl w:val="0"/>
              <w:numPr>
                <w:ilvl w:val="0"/>
                <w:numId w:val="5"/>
              </w:numPr>
              <w:spacing w:after="0"/>
              <w:rPr>
                <w:b/>
                <w:bCs/>
                <w:color w:val="000099"/>
                <w:sz w:val="24"/>
                <w:szCs w:val="24"/>
              </w:rPr>
            </w:pPr>
            <w:r>
              <w:rPr>
                <w:b/>
                <w:bCs/>
                <w:color w:val="000099"/>
                <w:sz w:val="24"/>
                <w:szCs w:val="24"/>
              </w:rPr>
              <w:t>Budowa i przebudowa infrastruktury transportu miejskiego, w tym:</w:t>
            </w:r>
          </w:p>
          <w:p w14:paraId="5FA39606"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centra przesiadkowe,</w:t>
            </w:r>
          </w:p>
          <w:p w14:paraId="21BF412B" w14:textId="2ABF1DA8" w:rsidR="00284496" w:rsidRDefault="00284496" w:rsidP="00D3558E">
            <w:pPr>
              <w:pStyle w:val="Akapitzlist"/>
              <w:widowControl w:val="0"/>
              <w:spacing w:after="0"/>
              <w:ind w:left="405"/>
              <w:rPr>
                <w:b/>
                <w:bCs/>
                <w:color w:val="000099"/>
                <w:sz w:val="24"/>
                <w:szCs w:val="24"/>
              </w:rPr>
            </w:pPr>
            <w:r>
              <w:rPr>
                <w:b/>
                <w:bCs/>
                <w:color w:val="000099"/>
                <w:sz w:val="24"/>
                <w:szCs w:val="24"/>
              </w:rPr>
              <w:t>-</w:t>
            </w:r>
            <w:r w:rsidR="00B40700">
              <w:rPr>
                <w:b/>
                <w:bCs/>
                <w:color w:val="000099"/>
                <w:sz w:val="24"/>
                <w:szCs w:val="24"/>
              </w:rPr>
              <w:t xml:space="preserve"> </w:t>
            </w:r>
            <w:r>
              <w:rPr>
                <w:b/>
                <w:bCs/>
                <w:color w:val="000099"/>
                <w:sz w:val="24"/>
                <w:szCs w:val="24"/>
              </w:rPr>
              <w:t>obiekty P&amp;R (wyłącznie na obrzeżach miast</w:t>
            </w:r>
            <w:r w:rsidR="00D25A3E">
              <w:rPr>
                <w:b/>
                <w:bCs/>
                <w:color w:val="000099"/>
                <w:sz w:val="24"/>
                <w:szCs w:val="24"/>
              </w:rPr>
              <w:t>*</w:t>
            </w:r>
            <w:r w:rsidRPr="00865FC3">
              <w:rPr>
                <w:b/>
                <w:bCs/>
                <w:color w:val="000099"/>
                <w:sz w:val="24"/>
                <w:szCs w:val="24"/>
              </w:rPr>
              <w:t>), B&amp;R,</w:t>
            </w:r>
          </w:p>
          <w:p w14:paraId="4133D20F"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niskoemisyjny i zeroemisyjny tabor autobusowy,</w:t>
            </w:r>
          </w:p>
          <w:p w14:paraId="7C0E4F34"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inwestycje ograniczające indywidualny ruch zmotoryzowany w centrach miast (ciągi piesze, wspólny bilet, przejścia dla pieszych, azyle dla pieszych),</w:t>
            </w:r>
          </w:p>
          <w:p w14:paraId="4C018237" w14:textId="47816574" w:rsidR="00284496" w:rsidRDefault="00284496" w:rsidP="00D3558E">
            <w:pPr>
              <w:pStyle w:val="Akapitzlist"/>
              <w:widowControl w:val="0"/>
              <w:spacing w:after="0"/>
              <w:ind w:left="405"/>
              <w:rPr>
                <w:b/>
                <w:bCs/>
                <w:color w:val="000099"/>
                <w:sz w:val="24"/>
                <w:szCs w:val="24"/>
              </w:rPr>
            </w:pPr>
            <w:r>
              <w:rPr>
                <w:b/>
                <w:bCs/>
                <w:color w:val="000099"/>
                <w:sz w:val="24"/>
                <w:szCs w:val="24"/>
              </w:rPr>
              <w:t>- drogi rowerowe, ciągi pieszo-rowerowe w obszarze funkcjonalnym miast – 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w:t>
            </w:r>
            <w:r w:rsidR="00DD754E">
              <w:rPr>
                <w:b/>
                <w:bCs/>
                <w:color w:val="000099"/>
                <w:sz w:val="24"/>
                <w:szCs w:val="24"/>
              </w:rPr>
              <w:t xml:space="preserve"> – jako element projektu</w:t>
            </w:r>
            <w:r>
              <w:rPr>
                <w:b/>
                <w:bCs/>
                <w:color w:val="000099"/>
                <w:sz w:val="24"/>
                <w:szCs w:val="24"/>
              </w:rPr>
              <w:t>,</w:t>
            </w:r>
          </w:p>
          <w:p w14:paraId="70ED496D" w14:textId="77777777" w:rsidR="00284496" w:rsidRDefault="00284496" w:rsidP="00D3558E">
            <w:pPr>
              <w:pStyle w:val="Akapitzlist"/>
              <w:widowControl w:val="0"/>
              <w:spacing w:after="0"/>
              <w:ind w:left="405"/>
              <w:rPr>
                <w:b/>
                <w:bCs/>
                <w:color w:val="000099"/>
                <w:sz w:val="24"/>
                <w:szCs w:val="24"/>
              </w:rPr>
            </w:pPr>
            <w:r>
              <w:rPr>
                <w:b/>
                <w:bCs/>
                <w:color w:val="000099"/>
                <w:sz w:val="24"/>
                <w:szCs w:val="24"/>
              </w:rPr>
              <w:t>- przystanki, wysepki, infrastruktura punktowa służąca poprawie jakości publicznego transportu miejskiego.</w:t>
            </w:r>
          </w:p>
          <w:p w14:paraId="5A26C572" w14:textId="3754C794" w:rsidR="00284496" w:rsidRDefault="00284496" w:rsidP="00D3558E">
            <w:pPr>
              <w:pStyle w:val="Akapitzlist"/>
              <w:widowControl w:val="0"/>
              <w:numPr>
                <w:ilvl w:val="0"/>
                <w:numId w:val="5"/>
              </w:numPr>
              <w:spacing w:after="0"/>
              <w:rPr>
                <w:b/>
                <w:bCs/>
                <w:color w:val="000099"/>
                <w:sz w:val="24"/>
                <w:szCs w:val="24"/>
              </w:rPr>
            </w:pPr>
            <w:r>
              <w:rPr>
                <w:b/>
                <w:bCs/>
                <w:color w:val="000099"/>
                <w:sz w:val="24"/>
                <w:szCs w:val="24"/>
              </w:rPr>
              <w:t>Zaplecze techniczne do obsługi taboru, modernizacja zajezdni autobusowych wraz z infrastrukturą do ładowania i tankowania pojazdów zeroemisyjnych</w:t>
            </w:r>
            <w:r w:rsidR="00B049A6">
              <w:rPr>
                <w:b/>
                <w:bCs/>
                <w:color w:val="000099"/>
                <w:sz w:val="24"/>
                <w:szCs w:val="24"/>
              </w:rPr>
              <w:t xml:space="preserve"> </w:t>
            </w:r>
            <w:r w:rsidR="00DD754E">
              <w:rPr>
                <w:b/>
                <w:bCs/>
                <w:color w:val="000099"/>
                <w:sz w:val="24"/>
                <w:szCs w:val="24"/>
              </w:rPr>
              <w:t xml:space="preserve">jedynie </w:t>
            </w:r>
            <w:r w:rsidR="00B049A6">
              <w:rPr>
                <w:b/>
                <w:bCs/>
                <w:color w:val="000099"/>
                <w:sz w:val="24"/>
                <w:szCs w:val="24"/>
              </w:rPr>
              <w:t>jako element projektu</w:t>
            </w:r>
            <w:r w:rsidR="00DD754E">
              <w:rPr>
                <w:b/>
                <w:bCs/>
                <w:color w:val="000099"/>
                <w:sz w:val="24"/>
                <w:szCs w:val="24"/>
              </w:rPr>
              <w:t xml:space="preserve"> dotyczący zakupu taboru autobusowego</w:t>
            </w:r>
            <w:r>
              <w:rPr>
                <w:b/>
                <w:bCs/>
                <w:color w:val="000099"/>
                <w:sz w:val="24"/>
                <w:szCs w:val="24"/>
              </w:rPr>
              <w:t>.</w:t>
            </w:r>
          </w:p>
          <w:p w14:paraId="1C718128" w14:textId="77777777" w:rsidR="00284496" w:rsidRDefault="00284496" w:rsidP="00D3558E">
            <w:pPr>
              <w:pStyle w:val="Akapitzlist"/>
              <w:widowControl w:val="0"/>
              <w:numPr>
                <w:ilvl w:val="0"/>
                <w:numId w:val="5"/>
              </w:numPr>
              <w:spacing w:after="0"/>
              <w:rPr>
                <w:b/>
                <w:bCs/>
                <w:color w:val="000099"/>
                <w:sz w:val="24"/>
                <w:szCs w:val="24"/>
              </w:rPr>
            </w:pPr>
            <w:r>
              <w:rPr>
                <w:b/>
                <w:bCs/>
                <w:color w:val="000099"/>
                <w:sz w:val="24"/>
                <w:szCs w:val="24"/>
              </w:rPr>
              <w:t>Inwestycje w infrastrukturę drogową  transportu publicznego (np. buspasy, przebudowa skrzyżowań w celu ułatwienia oraz/lub nadania priorytetu transportowi publicznemu w 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p>
          <w:p w14:paraId="49748DBC" w14:textId="6EFD025F" w:rsidR="00284496" w:rsidRDefault="00284496" w:rsidP="00D3558E">
            <w:pPr>
              <w:pStyle w:val="Akapitzlist"/>
              <w:widowControl w:val="0"/>
              <w:numPr>
                <w:ilvl w:val="0"/>
                <w:numId w:val="5"/>
              </w:numPr>
              <w:spacing w:after="0"/>
              <w:rPr>
                <w:b/>
                <w:bCs/>
                <w:color w:val="000099"/>
                <w:sz w:val="24"/>
                <w:szCs w:val="24"/>
              </w:rPr>
            </w:pPr>
            <w:r>
              <w:rPr>
                <w:b/>
                <w:bCs/>
                <w:color w:val="000099"/>
                <w:sz w:val="24"/>
                <w:szCs w:val="24"/>
              </w:rPr>
              <w:t>Inwestycje (budowa, rozbudowa) związane z systemami zarządzania ruchem (</w:t>
            </w:r>
            <w:r w:rsidRPr="00865FC3">
              <w:rPr>
                <w:b/>
                <w:bCs/>
                <w:color w:val="000099"/>
                <w:sz w:val="24"/>
                <w:szCs w:val="24"/>
              </w:rPr>
              <w:t>ITS</w:t>
            </w:r>
            <w:r>
              <w:rPr>
                <w:b/>
                <w:bCs/>
                <w:color w:val="000099"/>
                <w:sz w:val="24"/>
                <w:szCs w:val="24"/>
              </w:rPr>
              <w:t>)</w:t>
            </w:r>
            <w:r w:rsidR="00D25A3E">
              <w:rPr>
                <w:b/>
                <w:bCs/>
                <w:color w:val="000099"/>
                <w:sz w:val="24"/>
                <w:szCs w:val="24"/>
              </w:rPr>
              <w:t>**</w:t>
            </w:r>
            <w:r>
              <w:rPr>
                <w:b/>
                <w:bCs/>
                <w:color w:val="000099"/>
                <w:sz w:val="24"/>
                <w:szCs w:val="24"/>
              </w:rPr>
              <w:t>.</w:t>
            </w:r>
          </w:p>
          <w:p w14:paraId="176E339A" w14:textId="77777777" w:rsidR="00284496" w:rsidRDefault="00284496" w:rsidP="00D3558E">
            <w:pPr>
              <w:pStyle w:val="Akapitzlist"/>
              <w:widowControl w:val="0"/>
              <w:numPr>
                <w:ilvl w:val="0"/>
                <w:numId w:val="5"/>
              </w:numPr>
              <w:spacing w:after="0"/>
              <w:rPr>
                <w:b/>
                <w:bCs/>
                <w:color w:val="000099"/>
                <w:sz w:val="24"/>
                <w:szCs w:val="24"/>
              </w:rPr>
            </w:pPr>
            <w:r>
              <w:rPr>
                <w:b/>
                <w:bCs/>
                <w:color w:val="000099"/>
                <w:sz w:val="24"/>
                <w:szCs w:val="24"/>
              </w:rPr>
              <w:t>Inwestycje związane z energooszczędnym oświetleniem ulicznym i drogowym, jako element projektu związanego z infrastrukturą transportową.</w:t>
            </w:r>
          </w:p>
          <w:p w14:paraId="79BE474D" w14:textId="77777777" w:rsidR="00284496" w:rsidRDefault="00284496" w:rsidP="00D3558E">
            <w:pPr>
              <w:pStyle w:val="Akapitzlist"/>
              <w:widowControl w:val="0"/>
              <w:numPr>
                <w:ilvl w:val="0"/>
                <w:numId w:val="5"/>
              </w:numPr>
              <w:spacing w:after="0"/>
              <w:rPr>
                <w:b/>
                <w:bCs/>
                <w:color w:val="000099"/>
                <w:sz w:val="24"/>
                <w:szCs w:val="24"/>
              </w:rPr>
            </w:pPr>
            <w:r>
              <w:rPr>
                <w:b/>
                <w:bCs/>
                <w:color w:val="000099"/>
                <w:sz w:val="24"/>
                <w:szCs w:val="24"/>
              </w:rPr>
              <w:lastRenderedPageBreak/>
              <w:t>Budowa i rozbudowa infrastruktury ładowania i tankowania pojazdów bezemisyjnych indywidualnych, zapewniającej niedyskryminacyjny dostęp wszystkich użytkowników.</w:t>
            </w:r>
          </w:p>
          <w:p w14:paraId="6519FD53" w14:textId="77777777" w:rsidR="00DD754E" w:rsidRDefault="00284496" w:rsidP="00DD754E">
            <w:pPr>
              <w:pStyle w:val="Akapitzlist"/>
              <w:widowControl w:val="0"/>
              <w:numPr>
                <w:ilvl w:val="0"/>
                <w:numId w:val="5"/>
              </w:numPr>
              <w:spacing w:after="0"/>
              <w:rPr>
                <w:b/>
                <w:bCs/>
                <w:color w:val="000099"/>
                <w:sz w:val="24"/>
                <w:szCs w:val="24"/>
              </w:rPr>
            </w:pPr>
            <w:r>
              <w:rPr>
                <w:b/>
                <w:bCs/>
                <w:color w:val="000099"/>
                <w:sz w:val="24"/>
                <w:szCs w:val="24"/>
              </w:rPr>
              <w:t xml:space="preserve">Działania info-promo i edukacyjne podnoszące świadomość mieszkańców i władz w zakresie propagowania i promocji korzystania </w:t>
            </w:r>
            <w:r>
              <w:rPr>
                <w:b/>
                <w:bCs/>
                <w:color w:val="000099"/>
                <w:sz w:val="24"/>
                <w:szCs w:val="24"/>
              </w:rPr>
              <w:br/>
              <w:t>z transportu zbiorowego i niezmotoryzowanego oraz bezpieczeństwa korzystania z niego – jako element projektu</w:t>
            </w:r>
            <w:r w:rsidR="00DD754E">
              <w:rPr>
                <w:b/>
                <w:bCs/>
                <w:color w:val="000099"/>
                <w:sz w:val="24"/>
                <w:szCs w:val="24"/>
              </w:rPr>
              <w:t xml:space="preserve">. </w:t>
            </w:r>
          </w:p>
          <w:p w14:paraId="479FBC5C" w14:textId="77777777" w:rsidR="00DD754E" w:rsidRPr="003B23B5" w:rsidRDefault="00D25A3E" w:rsidP="003B23B5">
            <w:pPr>
              <w:spacing w:after="0"/>
              <w:rPr>
                <w:rFonts w:cstheme="minorHAnsi"/>
                <w:color w:val="2F5496" w:themeColor="accent5" w:themeShade="BF"/>
                <w:sz w:val="24"/>
                <w:szCs w:val="24"/>
              </w:rPr>
            </w:pPr>
            <w:r w:rsidRPr="003B23B5">
              <w:rPr>
                <w:b/>
                <w:bCs/>
                <w:color w:val="2F5496" w:themeColor="accent5" w:themeShade="BF"/>
                <w:sz w:val="24"/>
                <w:szCs w:val="24"/>
              </w:rPr>
              <w:t xml:space="preserve">* - </w:t>
            </w:r>
            <w:r w:rsidRPr="003B23B5">
              <w:rPr>
                <w:rFonts w:cstheme="minorHAnsi"/>
                <w:color w:val="2F5496" w:themeColor="accent5" w:themeShade="BF"/>
                <w:sz w:val="24"/>
                <w:szCs w:val="24"/>
              </w:rPr>
              <w:t>Inwestycje z zakresu P&amp;R tylko dla obiektów zlokalizowanych w strefach dojazdów do pracy w aglomeracjach (poza centrami miast) i tylko wtedy, gdy są one powiązane z uzupełniającymi połączeniami transportu publicznego i innymi środkami wspierającymi zrównoważony transport publiczny w mieście.</w:t>
            </w:r>
          </w:p>
          <w:p w14:paraId="13C24332" w14:textId="39B017A4" w:rsidR="00D25A3E" w:rsidRPr="003B23B5" w:rsidRDefault="00D25A3E" w:rsidP="003B23B5">
            <w:pPr>
              <w:rPr>
                <w:sz w:val="24"/>
                <w:szCs w:val="24"/>
              </w:rPr>
            </w:pPr>
            <w:r w:rsidRPr="00604ADE">
              <w:rPr>
                <w:rFonts w:cstheme="minorHAnsi"/>
                <w:b/>
                <w:bCs/>
                <w:color w:val="2F5496" w:themeColor="accent5" w:themeShade="BF"/>
                <w:sz w:val="24"/>
                <w:szCs w:val="24"/>
              </w:rPr>
              <w:t>**</w:t>
            </w:r>
            <w:r w:rsidRPr="003B23B5">
              <w:rPr>
                <w:rFonts w:cstheme="minorHAnsi"/>
                <w:color w:val="2F5496" w:themeColor="accent5" w:themeShade="BF"/>
                <w:sz w:val="24"/>
                <w:szCs w:val="24"/>
              </w:rPr>
              <w:t xml:space="preserve"> - </w:t>
            </w:r>
            <w:r w:rsidRPr="003B23B5">
              <w:rPr>
                <w:color w:val="2F5496" w:themeColor="accent5" w:themeShade="BF"/>
                <w:sz w:val="24"/>
                <w:szCs w:val="24"/>
              </w:rPr>
              <w:t>Z wyłączeniem inwestycji w ITS, których celem jest jedynie zwiększenie intensywności użytkowania (np. zwiększenie przepustowości) obecnie istniejącej infrastruktury drogowej.</w:t>
            </w:r>
          </w:p>
        </w:tc>
      </w:tr>
    </w:tbl>
    <w:p w14:paraId="585D9253" w14:textId="77777777" w:rsidR="00284496" w:rsidRPr="00284496" w:rsidRDefault="00284496" w:rsidP="00284496">
      <w:pPr>
        <w:rPr>
          <w:b/>
          <w:sz w:val="2"/>
          <w:szCs w:val="2"/>
        </w:rPr>
      </w:pPr>
    </w:p>
    <w:tbl>
      <w:tblPr>
        <w:tblW w:w="16160" w:type="dxa"/>
        <w:tblInd w:w="-1139" w:type="dxa"/>
        <w:tblLayout w:type="fixed"/>
        <w:tblCellMar>
          <w:left w:w="70" w:type="dxa"/>
          <w:right w:w="70" w:type="dxa"/>
        </w:tblCellMar>
        <w:tblLook w:val="00A0" w:firstRow="1" w:lastRow="0" w:firstColumn="1" w:lastColumn="0" w:noHBand="0" w:noVBand="0"/>
      </w:tblPr>
      <w:tblGrid>
        <w:gridCol w:w="573"/>
        <w:gridCol w:w="2688"/>
        <w:gridCol w:w="9780"/>
        <w:gridCol w:w="3119"/>
      </w:tblGrid>
      <w:tr w:rsidR="00CA6716" w14:paraId="418104F9" w14:textId="77777777" w:rsidTr="00FF0103">
        <w:trPr>
          <w:trHeight w:val="595"/>
          <w:tblHeader/>
        </w:trPr>
        <w:tc>
          <w:tcPr>
            <w:tcW w:w="16160" w:type="dxa"/>
            <w:gridSpan w:val="4"/>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1681881" w14:textId="75782737" w:rsidR="00CA6716" w:rsidRPr="0063670D" w:rsidRDefault="00CA6716" w:rsidP="00CA6716">
            <w:pPr>
              <w:widowControl w:val="0"/>
              <w:spacing w:after="0"/>
              <w:rPr>
                <w:b/>
                <w:bCs/>
                <w:color w:val="000099"/>
                <w:sz w:val="24"/>
                <w:szCs w:val="24"/>
              </w:rPr>
            </w:pPr>
            <w:r w:rsidRPr="00604ADE">
              <w:rPr>
                <w:b/>
                <w:bCs/>
                <w:color w:val="000099"/>
                <w:sz w:val="24"/>
                <w:szCs w:val="24"/>
              </w:rPr>
              <w:lastRenderedPageBreak/>
              <w:t>Kryteria merytoryczne szczegółowe</w:t>
            </w:r>
          </w:p>
        </w:tc>
      </w:tr>
      <w:tr w:rsidR="00CA6716" w14:paraId="23518DC2" w14:textId="4AAE941F" w:rsidTr="00CA6716">
        <w:trPr>
          <w:trHeight w:val="595"/>
          <w:tblHeader/>
        </w:trPr>
        <w:tc>
          <w:tcPr>
            <w:tcW w:w="57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40F6DE6E" w14:textId="77777777" w:rsidR="00CA6716" w:rsidRPr="0063670D" w:rsidRDefault="00CA6716" w:rsidP="004E6BCC">
            <w:pPr>
              <w:widowControl w:val="0"/>
              <w:spacing w:after="0"/>
              <w:jc w:val="center"/>
              <w:rPr>
                <w:b/>
                <w:bCs/>
                <w:color w:val="000099"/>
                <w:sz w:val="24"/>
                <w:szCs w:val="24"/>
              </w:rPr>
            </w:pPr>
            <w:r w:rsidRPr="0063670D">
              <w:rPr>
                <w:b/>
                <w:bCs/>
                <w:color w:val="000099"/>
                <w:sz w:val="24"/>
                <w:szCs w:val="24"/>
              </w:rPr>
              <w:t>Lp.</w:t>
            </w:r>
          </w:p>
        </w:tc>
        <w:tc>
          <w:tcPr>
            <w:tcW w:w="268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9BFEFA9" w14:textId="77777777" w:rsidR="00CA6716" w:rsidRPr="0063670D" w:rsidRDefault="00CA6716" w:rsidP="004E6BCC">
            <w:pPr>
              <w:widowControl w:val="0"/>
              <w:spacing w:after="0"/>
              <w:jc w:val="center"/>
              <w:rPr>
                <w:b/>
                <w:bCs/>
                <w:color w:val="000099"/>
                <w:sz w:val="24"/>
                <w:szCs w:val="24"/>
              </w:rPr>
            </w:pPr>
            <w:r w:rsidRPr="0063670D">
              <w:rPr>
                <w:b/>
                <w:bCs/>
                <w:color w:val="000099"/>
                <w:sz w:val="24"/>
                <w:szCs w:val="24"/>
              </w:rPr>
              <w:t>Nazwa kryterium</w:t>
            </w:r>
          </w:p>
        </w:tc>
        <w:tc>
          <w:tcPr>
            <w:tcW w:w="978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35A0E19" w14:textId="77777777" w:rsidR="00CA6716" w:rsidRPr="0063670D" w:rsidRDefault="00CA6716" w:rsidP="004E6BCC">
            <w:pPr>
              <w:widowControl w:val="0"/>
              <w:spacing w:after="0"/>
              <w:jc w:val="center"/>
              <w:rPr>
                <w:b/>
                <w:bCs/>
                <w:color w:val="000099"/>
                <w:sz w:val="24"/>
                <w:szCs w:val="24"/>
              </w:rPr>
            </w:pPr>
            <w:r w:rsidRPr="0063670D">
              <w:rPr>
                <w:b/>
                <w:bCs/>
                <w:color w:val="000099"/>
                <w:sz w:val="24"/>
                <w:szCs w:val="24"/>
              </w:rPr>
              <w:t>Definicja</w:t>
            </w:r>
          </w:p>
        </w:tc>
        <w:tc>
          <w:tcPr>
            <w:tcW w:w="311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0DB978C" w14:textId="77777777" w:rsidR="00CA6716" w:rsidRPr="0063670D" w:rsidRDefault="00CA6716" w:rsidP="004E6BCC">
            <w:pPr>
              <w:widowControl w:val="0"/>
              <w:spacing w:after="0"/>
              <w:jc w:val="center"/>
              <w:rPr>
                <w:b/>
                <w:bCs/>
                <w:color w:val="000099"/>
                <w:sz w:val="24"/>
                <w:szCs w:val="24"/>
              </w:rPr>
            </w:pPr>
            <w:r w:rsidRPr="0063670D">
              <w:rPr>
                <w:b/>
                <w:bCs/>
                <w:color w:val="000099"/>
                <w:sz w:val="24"/>
                <w:szCs w:val="24"/>
              </w:rPr>
              <w:t>Opis znaczenia kryterium</w:t>
            </w:r>
          </w:p>
        </w:tc>
      </w:tr>
      <w:tr w:rsidR="00CA6716" w14:paraId="4EB8AD1A" w14:textId="7E39CFFB" w:rsidTr="00CA6716">
        <w:trPr>
          <w:trHeight w:val="255"/>
          <w:tblHeader/>
        </w:trPr>
        <w:tc>
          <w:tcPr>
            <w:tcW w:w="573"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bottom"/>
          </w:tcPr>
          <w:p w14:paraId="0AB8124A" w14:textId="77777777" w:rsidR="00CA6716" w:rsidRPr="004E6BCC" w:rsidRDefault="00CA6716" w:rsidP="004E6BCC">
            <w:pPr>
              <w:widowControl w:val="0"/>
              <w:spacing w:after="0"/>
              <w:jc w:val="center"/>
              <w:rPr>
                <w:bCs/>
                <w:i/>
                <w:iCs/>
                <w:color w:val="000099"/>
                <w:sz w:val="24"/>
                <w:szCs w:val="24"/>
              </w:rPr>
            </w:pPr>
            <w:r w:rsidRPr="004E6BCC">
              <w:rPr>
                <w:bCs/>
                <w:i/>
                <w:iCs/>
                <w:color w:val="000099"/>
                <w:sz w:val="24"/>
                <w:szCs w:val="24"/>
              </w:rPr>
              <w:t>1</w:t>
            </w:r>
          </w:p>
        </w:tc>
        <w:tc>
          <w:tcPr>
            <w:tcW w:w="268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bottom"/>
          </w:tcPr>
          <w:p w14:paraId="52A246F2" w14:textId="77777777" w:rsidR="00CA6716" w:rsidRPr="004E6BCC" w:rsidRDefault="00CA6716" w:rsidP="004E6BCC">
            <w:pPr>
              <w:widowControl w:val="0"/>
              <w:spacing w:after="0"/>
              <w:jc w:val="center"/>
              <w:rPr>
                <w:bCs/>
                <w:i/>
                <w:iCs/>
                <w:color w:val="000099"/>
                <w:sz w:val="24"/>
                <w:szCs w:val="24"/>
              </w:rPr>
            </w:pPr>
            <w:r w:rsidRPr="004E6BCC">
              <w:rPr>
                <w:bCs/>
                <w:i/>
                <w:iCs/>
                <w:color w:val="000099"/>
                <w:sz w:val="24"/>
                <w:szCs w:val="24"/>
              </w:rPr>
              <w:t>2</w:t>
            </w:r>
          </w:p>
        </w:tc>
        <w:tc>
          <w:tcPr>
            <w:tcW w:w="978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bottom"/>
          </w:tcPr>
          <w:p w14:paraId="3688963E" w14:textId="1C643434" w:rsidR="00CA6716" w:rsidRPr="004E6BCC" w:rsidRDefault="00CA6716" w:rsidP="004E6BCC">
            <w:pPr>
              <w:widowControl w:val="0"/>
              <w:spacing w:after="0"/>
              <w:jc w:val="center"/>
              <w:rPr>
                <w:bCs/>
                <w:i/>
                <w:iCs/>
                <w:color w:val="000099"/>
                <w:sz w:val="24"/>
                <w:szCs w:val="24"/>
              </w:rPr>
            </w:pPr>
            <w:r w:rsidRPr="004E6BCC">
              <w:rPr>
                <w:bCs/>
                <w:i/>
                <w:iCs/>
                <w:color w:val="000099"/>
                <w:sz w:val="24"/>
                <w:szCs w:val="24"/>
              </w:rPr>
              <w:t>3</w:t>
            </w:r>
          </w:p>
        </w:tc>
        <w:tc>
          <w:tcPr>
            <w:tcW w:w="311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30F8AAAE" w14:textId="4B336C8E" w:rsidR="00CA6716" w:rsidRPr="004E6BCC" w:rsidRDefault="00CA6716" w:rsidP="004E6BCC">
            <w:pPr>
              <w:widowControl w:val="0"/>
              <w:spacing w:after="0"/>
              <w:jc w:val="center"/>
              <w:rPr>
                <w:bCs/>
                <w:i/>
                <w:iCs/>
                <w:color w:val="000099"/>
                <w:sz w:val="24"/>
                <w:szCs w:val="24"/>
              </w:rPr>
            </w:pPr>
            <w:r w:rsidRPr="004E6BCC">
              <w:rPr>
                <w:bCs/>
                <w:i/>
                <w:iCs/>
                <w:color w:val="000099"/>
                <w:sz w:val="24"/>
                <w:szCs w:val="24"/>
              </w:rPr>
              <w:t>4</w:t>
            </w:r>
          </w:p>
        </w:tc>
      </w:tr>
      <w:tr w:rsidR="00CA6716" w14:paraId="4903FC79" w14:textId="39C6DA81" w:rsidTr="00A34B45">
        <w:trPr>
          <w:trHeight w:val="4606"/>
        </w:trPr>
        <w:tc>
          <w:tcPr>
            <w:tcW w:w="573" w:type="dxa"/>
            <w:tcBorders>
              <w:top w:val="single" w:sz="4" w:space="0" w:color="92D050"/>
              <w:left w:val="single" w:sz="4" w:space="0" w:color="92D050"/>
              <w:bottom w:val="single" w:sz="4" w:space="0" w:color="92D050"/>
              <w:right w:val="single" w:sz="4" w:space="0" w:color="92D050"/>
            </w:tcBorders>
            <w:vAlign w:val="center"/>
          </w:tcPr>
          <w:p w14:paraId="1DD59AC2" w14:textId="77777777" w:rsidR="00CA6716" w:rsidRPr="00822661" w:rsidRDefault="00CA6716">
            <w:pPr>
              <w:widowControl w:val="0"/>
              <w:rPr>
                <w:rFonts w:cstheme="minorHAnsi"/>
                <w:sz w:val="24"/>
                <w:szCs w:val="24"/>
                <w:highlight w:val="yellow"/>
              </w:rPr>
            </w:pPr>
            <w:r w:rsidRPr="00822661">
              <w:rPr>
                <w:rFonts w:cstheme="minorHAnsi"/>
                <w:sz w:val="24"/>
                <w:szCs w:val="24"/>
              </w:rPr>
              <w:t>1.</w:t>
            </w:r>
          </w:p>
        </w:tc>
        <w:tc>
          <w:tcPr>
            <w:tcW w:w="2688" w:type="dxa"/>
            <w:tcBorders>
              <w:top w:val="single" w:sz="4" w:space="0" w:color="92D050"/>
              <w:left w:val="single" w:sz="4" w:space="0" w:color="92D050"/>
              <w:bottom w:val="single" w:sz="4" w:space="0" w:color="92D050"/>
              <w:right w:val="single" w:sz="4" w:space="0" w:color="92D050"/>
            </w:tcBorders>
            <w:vAlign w:val="center"/>
          </w:tcPr>
          <w:p w14:paraId="269ED5ED" w14:textId="4309F1D6" w:rsidR="00CA6716" w:rsidRPr="00822661" w:rsidRDefault="00CA6716" w:rsidP="002774FA">
            <w:pPr>
              <w:widowControl w:val="0"/>
              <w:rPr>
                <w:rFonts w:cs="Calibri"/>
                <w:sz w:val="24"/>
                <w:szCs w:val="24"/>
              </w:rPr>
            </w:pPr>
            <w:r w:rsidRPr="00822661">
              <w:rPr>
                <w:sz w:val="24"/>
                <w:szCs w:val="24"/>
              </w:rPr>
              <w:t>Projekt realizowany na terenie miasta i jego obszaru funkcjonalnego (MOF)</w:t>
            </w:r>
          </w:p>
        </w:tc>
        <w:tc>
          <w:tcPr>
            <w:tcW w:w="9780" w:type="dxa"/>
            <w:tcBorders>
              <w:top w:val="single" w:sz="4" w:space="0" w:color="92D050"/>
              <w:left w:val="single" w:sz="4" w:space="0" w:color="92D050"/>
              <w:bottom w:val="single" w:sz="4" w:space="0" w:color="92D050"/>
              <w:right w:val="single" w:sz="4" w:space="0" w:color="92D050"/>
            </w:tcBorders>
            <w:vAlign w:val="center"/>
          </w:tcPr>
          <w:p w14:paraId="3681A995" w14:textId="77777777" w:rsidR="00CA6716" w:rsidRPr="00822661" w:rsidRDefault="00CA6716" w:rsidP="0063670D">
            <w:pPr>
              <w:widowControl w:val="0"/>
              <w:spacing w:after="120"/>
              <w:rPr>
                <w:rFonts w:cstheme="minorHAnsi"/>
                <w:sz w:val="24"/>
                <w:szCs w:val="24"/>
              </w:rPr>
            </w:pPr>
            <w:r w:rsidRPr="00822661">
              <w:rPr>
                <w:rFonts w:cstheme="minorHAnsi"/>
                <w:sz w:val="24"/>
                <w:szCs w:val="24"/>
              </w:rPr>
              <w:t xml:space="preserve">Realizowane będą projekty wyłącznie w miastach i ich obszarach funkcjonalnych (MOF). </w:t>
            </w:r>
          </w:p>
          <w:p w14:paraId="275393B8" w14:textId="46D359A4" w:rsidR="00CA6716" w:rsidRPr="00822661" w:rsidRDefault="00CA6716" w:rsidP="0063670D">
            <w:pPr>
              <w:widowControl w:val="0"/>
              <w:spacing w:after="120"/>
              <w:rPr>
                <w:rFonts w:cstheme="minorHAnsi"/>
                <w:sz w:val="24"/>
                <w:szCs w:val="24"/>
              </w:rPr>
            </w:pPr>
            <w:r w:rsidRPr="00822661">
              <w:rPr>
                <w:rFonts w:cstheme="minorHAnsi"/>
                <w:sz w:val="24"/>
                <w:szCs w:val="24"/>
              </w:rPr>
              <w:t>W przypadku zakupu taboru na potrzeby miejskiej komunikacji transportowej może on być wykorzystywany również w gminach spoza obszaru MOF, jeżeli dana gmina jest objęta częścią usług przewozowych komunikacji miejskiej organizowanej przez jednostki samorządu terytorialnego wchodzące w skład MOF*.</w:t>
            </w:r>
          </w:p>
          <w:p w14:paraId="2709CAC1" w14:textId="2B4F6876" w:rsidR="00CA6716" w:rsidRPr="00822661" w:rsidRDefault="00CA6716" w:rsidP="0063670D">
            <w:pPr>
              <w:widowControl w:val="0"/>
              <w:spacing w:after="120"/>
              <w:rPr>
                <w:rFonts w:cstheme="minorHAnsi"/>
                <w:sz w:val="24"/>
                <w:szCs w:val="24"/>
              </w:rPr>
            </w:pPr>
            <w:r w:rsidRPr="00822661">
              <w:rPr>
                <w:rFonts w:cstheme="minorHAnsi"/>
                <w:sz w:val="24"/>
                <w:szCs w:val="24"/>
              </w:rPr>
              <w:t>Kryterium weryfikowane na podstawie zapisów wniosku o dofinansowanie i załączników i/lub wyjaśnień udzielonych przez Wnioskodawcę.</w:t>
            </w:r>
          </w:p>
          <w:p w14:paraId="4C56C479" w14:textId="2586F378" w:rsidR="00CA6716" w:rsidRPr="00822661" w:rsidRDefault="00CA6716" w:rsidP="003B23B5">
            <w:pPr>
              <w:widowControl w:val="0"/>
              <w:spacing w:after="0"/>
              <w:rPr>
                <w:rFonts w:cstheme="minorHAnsi"/>
                <w:sz w:val="24"/>
                <w:szCs w:val="24"/>
              </w:rPr>
            </w:pPr>
            <w:r w:rsidRPr="00822661">
              <w:rPr>
                <w:rFonts w:cstheme="minorHAnsi"/>
                <w:sz w:val="24"/>
                <w:szCs w:val="24"/>
              </w:rPr>
              <w:t xml:space="preserve">* Delimitacja Miejskich Obszarów Funkcjonalnych ośrodków powiatowych w województwie opolskim (Uchwała ZWO nr 8745/2023 z dnia 30 stycznia 2023 r.) </w:t>
            </w:r>
            <w:r w:rsidRPr="00822661">
              <w:rPr>
                <w:rFonts w:cstheme="minorHAnsi"/>
                <w:sz w:val="24"/>
                <w:szCs w:val="24"/>
              </w:rPr>
              <w:br/>
              <w:t>(</w:t>
            </w:r>
            <w:hyperlink r:id="rId9" w:history="1">
              <w:r w:rsidRPr="00500CA1">
                <w:rPr>
                  <w:rStyle w:val="Hipercze"/>
                  <w:rFonts w:cstheme="minorHAnsi"/>
                  <w:color w:val="000000" w:themeColor="text1"/>
                  <w:sz w:val="24"/>
                  <w:szCs w:val="24"/>
                </w:rPr>
                <w:t>https://bip.opolskie.pl/2023/02/uchwala-nr-8745-2023-zarzadu-wojewodztwa-opolskiego-z-dnia-30-stycznia-2023-roku-w-sprawie-okreslenia-miejskich-obszarow-funkcjonalnych-miast-powiatowych-w-wojewodztwie-opolskim-i-ich-granic/</w:t>
              </w:r>
            </w:hyperlink>
            <w:r w:rsidRPr="00500CA1">
              <w:rPr>
                <w:rFonts w:cstheme="minorHAnsi"/>
                <w:color w:val="000000" w:themeColor="text1"/>
                <w:sz w:val="24"/>
                <w:szCs w:val="24"/>
              </w:rPr>
              <w:t>).</w:t>
            </w:r>
          </w:p>
        </w:tc>
        <w:tc>
          <w:tcPr>
            <w:tcW w:w="3119" w:type="dxa"/>
            <w:tcBorders>
              <w:top w:val="single" w:sz="4" w:space="0" w:color="92D050"/>
              <w:left w:val="single" w:sz="4" w:space="0" w:color="92D050"/>
              <w:bottom w:val="single" w:sz="4" w:space="0" w:color="92D050"/>
              <w:right w:val="single" w:sz="4" w:space="0" w:color="92D050"/>
            </w:tcBorders>
            <w:vAlign w:val="center"/>
          </w:tcPr>
          <w:p w14:paraId="37BC2C80" w14:textId="77777777" w:rsidR="00CA6716" w:rsidRDefault="00CA6716">
            <w:pPr>
              <w:widowControl w:val="0"/>
              <w:spacing w:after="0" w:line="240" w:lineRule="auto"/>
              <w:rPr>
                <w:rFonts w:cstheme="minorHAnsi"/>
                <w:sz w:val="24"/>
                <w:szCs w:val="24"/>
              </w:rPr>
            </w:pPr>
            <w:r>
              <w:rPr>
                <w:rFonts w:cstheme="minorHAnsi"/>
                <w:sz w:val="24"/>
                <w:szCs w:val="24"/>
              </w:rPr>
              <w:t>Kryterium bezwzględne (0/1)</w:t>
            </w:r>
          </w:p>
        </w:tc>
      </w:tr>
      <w:tr w:rsidR="00CA6716" w14:paraId="5916E066" w14:textId="0C7DE50F" w:rsidTr="00CA6716">
        <w:trPr>
          <w:trHeight w:val="490"/>
        </w:trPr>
        <w:tc>
          <w:tcPr>
            <w:tcW w:w="573" w:type="dxa"/>
            <w:tcBorders>
              <w:top w:val="single" w:sz="4" w:space="0" w:color="92D050"/>
              <w:left w:val="single" w:sz="4" w:space="0" w:color="92D050"/>
              <w:bottom w:val="single" w:sz="4" w:space="0" w:color="92D050"/>
              <w:right w:val="single" w:sz="4" w:space="0" w:color="92D050"/>
            </w:tcBorders>
            <w:vAlign w:val="center"/>
          </w:tcPr>
          <w:p w14:paraId="38F97CDB" w14:textId="77777777" w:rsidR="00CA6716" w:rsidRDefault="00CA6716">
            <w:pPr>
              <w:widowControl w:val="0"/>
              <w:rPr>
                <w:rFonts w:cstheme="minorHAnsi"/>
                <w:sz w:val="24"/>
                <w:szCs w:val="24"/>
                <w:highlight w:val="yellow"/>
              </w:rPr>
            </w:pPr>
            <w:r w:rsidRPr="00910A10">
              <w:rPr>
                <w:rFonts w:cstheme="minorHAnsi"/>
                <w:sz w:val="24"/>
                <w:szCs w:val="24"/>
              </w:rPr>
              <w:t>2.</w:t>
            </w:r>
          </w:p>
        </w:tc>
        <w:tc>
          <w:tcPr>
            <w:tcW w:w="2688" w:type="dxa"/>
            <w:tcBorders>
              <w:top w:val="single" w:sz="4" w:space="0" w:color="92D050"/>
              <w:left w:val="single" w:sz="4" w:space="0" w:color="92D050"/>
              <w:bottom w:val="single" w:sz="4" w:space="0" w:color="92D050"/>
              <w:right w:val="single" w:sz="4" w:space="0" w:color="92D050"/>
            </w:tcBorders>
            <w:vAlign w:val="center"/>
          </w:tcPr>
          <w:p w14:paraId="5637C1A9" w14:textId="496C0DF6" w:rsidR="00CA6716" w:rsidRDefault="00CA6716">
            <w:pPr>
              <w:widowControl w:val="0"/>
              <w:spacing w:after="0"/>
              <w:rPr>
                <w:rFonts w:cs="Calibri"/>
                <w:sz w:val="24"/>
                <w:szCs w:val="24"/>
              </w:rPr>
            </w:pPr>
            <w:r>
              <w:rPr>
                <w:rFonts w:cs="Calibri"/>
                <w:sz w:val="24"/>
                <w:szCs w:val="24"/>
              </w:rPr>
              <w:t xml:space="preserve">Zgodność inwestycji </w:t>
            </w:r>
            <w:r>
              <w:rPr>
                <w:rFonts w:cs="Calibri"/>
                <w:sz w:val="24"/>
                <w:szCs w:val="24"/>
              </w:rPr>
              <w:br/>
              <w:t>z  dokumentami planowania mobilności</w:t>
            </w:r>
          </w:p>
        </w:tc>
        <w:tc>
          <w:tcPr>
            <w:tcW w:w="9780" w:type="dxa"/>
            <w:tcBorders>
              <w:top w:val="single" w:sz="4" w:space="0" w:color="92D050"/>
              <w:left w:val="single" w:sz="4" w:space="0" w:color="92D050"/>
              <w:bottom w:val="single" w:sz="4" w:space="0" w:color="92D050"/>
              <w:right w:val="single" w:sz="4" w:space="0" w:color="92D050"/>
            </w:tcBorders>
            <w:vAlign w:val="center"/>
          </w:tcPr>
          <w:p w14:paraId="340D6403" w14:textId="60B3475B" w:rsidR="00CA6716" w:rsidRDefault="00CA6716" w:rsidP="00284496">
            <w:pPr>
              <w:widowControl w:val="0"/>
              <w:spacing w:after="60"/>
              <w:rPr>
                <w:rFonts w:cstheme="minorHAnsi"/>
                <w:sz w:val="24"/>
                <w:szCs w:val="24"/>
              </w:rPr>
            </w:pPr>
            <w:r>
              <w:rPr>
                <w:rFonts w:cstheme="minorHAnsi"/>
                <w:sz w:val="24"/>
                <w:szCs w:val="24"/>
              </w:rPr>
              <w:t xml:space="preserve">Inwestycje objęte wsparciem będą zgodne z odpowiednim </w:t>
            </w:r>
            <w:r>
              <w:rPr>
                <w:rFonts w:cstheme="minorHAnsi"/>
                <w:b/>
                <w:sz w:val="24"/>
                <w:szCs w:val="24"/>
              </w:rPr>
              <w:t>Planem Zrównoważonej Mobilności Miejskiej</w:t>
            </w:r>
            <w:r>
              <w:rPr>
                <w:rFonts w:cstheme="minorHAnsi"/>
                <w:sz w:val="24"/>
                <w:szCs w:val="24"/>
              </w:rPr>
              <w:t xml:space="preserve"> (tzw. SUMP, z ang. Sustainable Urban Mobility Plans) przyjętymi na obszarze, w którym realizowana jest inwestycja. </w:t>
            </w:r>
          </w:p>
          <w:p w14:paraId="6DB98E9B" w14:textId="512C1665" w:rsidR="00CA6716" w:rsidRDefault="00CA6716" w:rsidP="00284496">
            <w:pPr>
              <w:widowControl w:val="0"/>
              <w:spacing w:after="60"/>
              <w:rPr>
                <w:rFonts w:cstheme="minorHAnsi"/>
                <w:sz w:val="24"/>
                <w:szCs w:val="24"/>
              </w:rPr>
            </w:pPr>
            <w:r w:rsidRPr="00C90407">
              <w:rPr>
                <w:rFonts w:cstheme="minorHAnsi"/>
                <w:sz w:val="24"/>
                <w:szCs w:val="24"/>
              </w:rPr>
              <w:t xml:space="preserve">W przypadku miasta wojewódzkiego i jego obszaru funkcjonalnego posiadanie SUMP jest warunkiem w dostępie do środków. </w:t>
            </w:r>
          </w:p>
          <w:p w14:paraId="41746C5F" w14:textId="77777777" w:rsidR="00CA6716" w:rsidRDefault="00CA6716" w:rsidP="00284496">
            <w:pPr>
              <w:widowControl w:val="0"/>
              <w:spacing w:after="60"/>
              <w:rPr>
                <w:rFonts w:cstheme="minorHAnsi"/>
                <w:sz w:val="24"/>
                <w:szCs w:val="24"/>
              </w:rPr>
            </w:pPr>
            <w:r>
              <w:rPr>
                <w:rFonts w:cstheme="minorHAnsi"/>
                <w:sz w:val="24"/>
                <w:szCs w:val="24"/>
              </w:rPr>
              <w:t>W przypadku wymogu przyjęcia SUMP dla miasta wojewódzkiego, wymóg ten będzie uznany za spełniony jeżeli plan ten:</w:t>
            </w:r>
          </w:p>
          <w:p w14:paraId="2A6E5487" w14:textId="7CB97902" w:rsidR="00CA6716" w:rsidRPr="00203740" w:rsidRDefault="00CA6716" w:rsidP="00604ADE">
            <w:pPr>
              <w:pStyle w:val="Tekstpodstawowy"/>
              <w:widowControl w:val="0"/>
              <w:numPr>
                <w:ilvl w:val="0"/>
                <w:numId w:val="6"/>
              </w:numPr>
              <w:spacing w:before="0" w:after="0" w:line="276" w:lineRule="auto"/>
              <w:ind w:left="348" w:hanging="357"/>
              <w:jc w:val="left"/>
              <w:rPr>
                <w:rFonts w:asciiTheme="minorHAnsi" w:hAnsiTheme="minorHAnsi" w:cstheme="minorBidi"/>
              </w:rPr>
            </w:pPr>
            <w:r w:rsidRPr="29E9A49B">
              <w:rPr>
                <w:rFonts w:asciiTheme="minorHAnsi" w:hAnsiTheme="minorHAnsi" w:cstheme="minorBidi"/>
              </w:rPr>
              <w:t xml:space="preserve">będzie obejmował właściwy funkcjonalny obszar miejski, </w:t>
            </w:r>
          </w:p>
          <w:p w14:paraId="65AD8014" w14:textId="08793949" w:rsidR="00CA6716" w:rsidRPr="00500CA1" w:rsidRDefault="00CA6716" w:rsidP="00604ADE">
            <w:pPr>
              <w:pStyle w:val="Listapunktowana4"/>
              <w:widowControl w:val="0"/>
              <w:numPr>
                <w:ilvl w:val="0"/>
                <w:numId w:val="6"/>
              </w:numPr>
              <w:spacing w:before="0" w:after="0" w:line="276" w:lineRule="auto"/>
              <w:ind w:left="348" w:hanging="357"/>
              <w:jc w:val="left"/>
              <w:rPr>
                <w:rFonts w:asciiTheme="minorHAnsi" w:hAnsiTheme="minorHAnsi" w:cstheme="minorBidi"/>
                <w:color w:val="000000" w:themeColor="text1"/>
              </w:rPr>
            </w:pPr>
            <w:r w:rsidRPr="29E9A49B">
              <w:rPr>
                <w:rFonts w:asciiTheme="minorHAnsi" w:hAnsiTheme="minorHAnsi" w:cstheme="minorBidi"/>
              </w:rPr>
              <w:lastRenderedPageBreak/>
              <w:t>będzie zgodn</w:t>
            </w:r>
            <w:r>
              <w:rPr>
                <w:rFonts w:asciiTheme="minorHAnsi" w:hAnsiTheme="minorHAnsi" w:cstheme="minorBidi"/>
              </w:rPr>
              <w:t>y</w:t>
            </w:r>
            <w:r w:rsidRPr="29E9A49B">
              <w:rPr>
                <w:rFonts w:asciiTheme="minorHAnsi" w:hAnsiTheme="minorHAnsi" w:cstheme="minorBidi"/>
              </w:rPr>
              <w:t xml:space="preserve"> z wymogami SUMP określonymi we właściwym komunikacie KE dotyczącym SUMP </w:t>
            </w:r>
            <w:r w:rsidRPr="00500CA1">
              <w:rPr>
                <w:rFonts w:asciiTheme="minorHAnsi" w:hAnsiTheme="minorHAnsi" w:cstheme="minorBidi"/>
                <w:color w:val="000000" w:themeColor="text1"/>
              </w:rPr>
              <w:t>(</w:t>
            </w:r>
            <w:hyperlink r:id="rId10">
              <w:r w:rsidRPr="00500CA1">
                <w:rPr>
                  <w:rStyle w:val="czeinternetowe"/>
                  <w:rFonts w:asciiTheme="minorHAnsi" w:hAnsiTheme="minorHAnsi" w:cstheme="minorBidi"/>
                  <w:color w:val="000000" w:themeColor="text1"/>
                  <w:shd w:val="clear" w:color="auto" w:fill="FFFFFF"/>
                </w:rPr>
                <w:t>https://www.eltis.org/sites/default/files/sump_guidelines_2019_interactive_document_1.pdf</w:t>
              </w:r>
            </w:hyperlink>
            <w:r w:rsidRPr="00500CA1">
              <w:rPr>
                <w:rStyle w:val="czeinternetowe"/>
                <w:rFonts w:asciiTheme="minorHAnsi" w:hAnsiTheme="minorHAnsi" w:cstheme="minorBidi"/>
                <w:color w:val="000000" w:themeColor="text1"/>
                <w:shd w:val="clear" w:color="auto" w:fill="FFFFFF"/>
              </w:rPr>
              <w:t>)</w:t>
            </w:r>
            <w:r w:rsidRPr="00500CA1">
              <w:rPr>
                <w:rFonts w:asciiTheme="minorHAnsi" w:hAnsiTheme="minorHAnsi" w:cstheme="minorBidi"/>
                <w:color w:val="000000" w:themeColor="text1"/>
              </w:rPr>
              <w:t xml:space="preserve"> oraz rozporządzeniem UE w sprawie sieci TEN-T  (</w:t>
            </w:r>
            <w:hyperlink r:id="rId11">
              <w:r w:rsidRPr="00500CA1">
                <w:rPr>
                  <w:rStyle w:val="czeinternetowe"/>
                  <w:rFonts w:asciiTheme="minorHAnsi" w:hAnsiTheme="minorHAnsi" w:cstheme="minorBidi"/>
                  <w:color w:val="000000" w:themeColor="text1"/>
                </w:rPr>
                <w:t>https://www.gov.pl/web/infrastruktura/transeuropejska-siec-transportowa-ten-t</w:t>
              </w:r>
            </w:hyperlink>
            <w:r w:rsidRPr="00500CA1">
              <w:rPr>
                <w:rStyle w:val="czeinternetowe"/>
                <w:rFonts w:asciiTheme="minorHAnsi" w:hAnsiTheme="minorHAnsi" w:cstheme="minorBidi"/>
                <w:color w:val="000000" w:themeColor="text1"/>
              </w:rPr>
              <w:t>)</w:t>
            </w:r>
            <w:r w:rsidRPr="00500CA1">
              <w:rPr>
                <w:rFonts w:asciiTheme="minorHAnsi" w:hAnsiTheme="minorHAnsi" w:cstheme="minorBidi"/>
                <w:color w:val="000000" w:themeColor="text1"/>
              </w:rPr>
              <w:t>,</w:t>
            </w:r>
          </w:p>
          <w:p w14:paraId="4CEB2726" w14:textId="77777777" w:rsidR="00CA6716" w:rsidRPr="00D96401" w:rsidRDefault="00CA6716" w:rsidP="000324C1">
            <w:pPr>
              <w:pStyle w:val="Listapunktowana4"/>
              <w:widowControl w:val="0"/>
              <w:numPr>
                <w:ilvl w:val="0"/>
                <w:numId w:val="6"/>
              </w:numPr>
              <w:spacing w:before="0" w:line="276" w:lineRule="auto"/>
              <w:ind w:left="346" w:hanging="357"/>
              <w:contextualSpacing w:val="0"/>
              <w:jc w:val="left"/>
              <w:rPr>
                <w:rFonts w:asciiTheme="minorHAnsi" w:hAnsiTheme="minorHAnsi" w:cstheme="minorHAnsi"/>
                <w:szCs w:val="24"/>
              </w:rPr>
            </w:pPr>
            <w:r w:rsidRPr="00500CA1">
              <w:rPr>
                <w:rFonts w:asciiTheme="minorHAnsi" w:hAnsiTheme="minorHAnsi" w:cstheme="minorBidi"/>
                <w:color w:val="000000" w:themeColor="text1"/>
              </w:rPr>
              <w:t xml:space="preserve">będzie przyjęty przez organ właściwy </w:t>
            </w:r>
            <w:r w:rsidRPr="29E9A49B">
              <w:rPr>
                <w:rFonts w:asciiTheme="minorHAnsi" w:hAnsiTheme="minorHAnsi" w:cstheme="minorBidi"/>
              </w:rPr>
              <w:t>terytorialnie oraz rzeczowo, w sposób zapewniający praktyczną realizację postanowień SUMP.</w:t>
            </w:r>
          </w:p>
          <w:p w14:paraId="2ABBF433" w14:textId="4BF5C5D3" w:rsidR="00CA6716" w:rsidRPr="00F135F3" w:rsidRDefault="00CA6716" w:rsidP="003B23B5">
            <w:pPr>
              <w:pStyle w:val="Listapunktowana4"/>
              <w:widowControl w:val="0"/>
              <w:spacing w:before="0" w:after="0" w:line="276" w:lineRule="auto"/>
              <w:ind w:left="0" w:firstLine="0"/>
              <w:contextualSpacing w:val="0"/>
              <w:jc w:val="left"/>
              <w:rPr>
                <w:rFonts w:cstheme="minorHAnsi"/>
                <w:szCs w:val="24"/>
              </w:rPr>
            </w:pPr>
            <w:r w:rsidRPr="003B23B5">
              <w:rPr>
                <w:rFonts w:asciiTheme="minorHAnsi" w:hAnsiTheme="minorHAnsi" w:cstheme="minorHAnsi"/>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07942332" w14:textId="77777777" w:rsidR="00CA6716" w:rsidRDefault="00CA6716">
            <w:pPr>
              <w:widowControl w:val="0"/>
              <w:spacing w:after="0" w:line="240" w:lineRule="auto"/>
              <w:rPr>
                <w:rFonts w:cstheme="minorHAnsi"/>
                <w:sz w:val="24"/>
                <w:szCs w:val="24"/>
              </w:rPr>
            </w:pPr>
            <w:r>
              <w:rPr>
                <w:rFonts w:cstheme="minorHAnsi"/>
                <w:sz w:val="24"/>
                <w:szCs w:val="24"/>
              </w:rPr>
              <w:lastRenderedPageBreak/>
              <w:t>Kryterium bezwzględne (0/1)</w:t>
            </w:r>
          </w:p>
        </w:tc>
      </w:tr>
      <w:tr w:rsidR="00CA6716" w14:paraId="7E2606AB" w14:textId="46C9C65C" w:rsidTr="00CA6716">
        <w:trPr>
          <w:trHeight w:val="564"/>
        </w:trPr>
        <w:tc>
          <w:tcPr>
            <w:tcW w:w="573" w:type="dxa"/>
            <w:tcBorders>
              <w:top w:val="single" w:sz="4" w:space="0" w:color="92D050"/>
              <w:left w:val="single" w:sz="4" w:space="0" w:color="92D050"/>
              <w:bottom w:val="single" w:sz="4" w:space="0" w:color="92D050"/>
              <w:right w:val="single" w:sz="4" w:space="0" w:color="92D050"/>
            </w:tcBorders>
            <w:vAlign w:val="center"/>
          </w:tcPr>
          <w:p w14:paraId="5DAB7B79" w14:textId="77777777" w:rsidR="00CA6716" w:rsidRPr="00284496" w:rsidRDefault="00CA6716">
            <w:pPr>
              <w:widowControl w:val="0"/>
              <w:spacing w:after="0"/>
              <w:rPr>
                <w:rFonts w:cstheme="minorHAnsi"/>
                <w:sz w:val="24"/>
                <w:szCs w:val="24"/>
              </w:rPr>
            </w:pPr>
            <w:r w:rsidRPr="00284496">
              <w:rPr>
                <w:rFonts w:cstheme="minorHAnsi"/>
                <w:sz w:val="24"/>
                <w:szCs w:val="24"/>
              </w:rPr>
              <w:t>3.</w:t>
            </w:r>
          </w:p>
        </w:tc>
        <w:tc>
          <w:tcPr>
            <w:tcW w:w="2688" w:type="dxa"/>
            <w:tcBorders>
              <w:top w:val="single" w:sz="4" w:space="0" w:color="92D050"/>
              <w:left w:val="single" w:sz="4" w:space="0" w:color="92D050"/>
              <w:bottom w:val="single" w:sz="4" w:space="0" w:color="92D050"/>
              <w:right w:val="single" w:sz="4" w:space="0" w:color="92D050"/>
            </w:tcBorders>
            <w:vAlign w:val="center"/>
          </w:tcPr>
          <w:p w14:paraId="16ACC9AB" w14:textId="77777777" w:rsidR="00CA6716" w:rsidRPr="00822661" w:rsidRDefault="00CA6716">
            <w:pPr>
              <w:widowControl w:val="0"/>
              <w:spacing w:after="0"/>
              <w:rPr>
                <w:rFonts w:cstheme="minorHAnsi"/>
                <w:sz w:val="24"/>
                <w:szCs w:val="24"/>
              </w:rPr>
            </w:pPr>
            <w:r w:rsidRPr="00822661">
              <w:rPr>
                <w:rFonts w:cstheme="minorHAnsi"/>
                <w:sz w:val="24"/>
                <w:szCs w:val="24"/>
              </w:rPr>
              <w:t>Ograniczenie  emisji gazów cieplarnianych</w:t>
            </w:r>
          </w:p>
        </w:tc>
        <w:tc>
          <w:tcPr>
            <w:tcW w:w="9780" w:type="dxa"/>
            <w:tcBorders>
              <w:top w:val="single" w:sz="4" w:space="0" w:color="92D050"/>
              <w:left w:val="single" w:sz="4" w:space="0" w:color="92D050"/>
              <w:bottom w:val="single" w:sz="4" w:space="0" w:color="92D050"/>
              <w:right w:val="single" w:sz="4" w:space="0" w:color="92D050"/>
            </w:tcBorders>
            <w:vAlign w:val="center"/>
          </w:tcPr>
          <w:p w14:paraId="7DC1707F" w14:textId="7ED0BC4C" w:rsidR="00CA6716" w:rsidRPr="00822661" w:rsidRDefault="00CA6716" w:rsidP="0063670D">
            <w:pPr>
              <w:widowControl w:val="0"/>
              <w:spacing w:after="120"/>
              <w:rPr>
                <w:rFonts w:cstheme="minorHAnsi"/>
                <w:sz w:val="24"/>
                <w:szCs w:val="24"/>
              </w:rPr>
            </w:pPr>
            <w:r w:rsidRPr="00822661">
              <w:rPr>
                <w:rFonts w:cstheme="minorHAnsi"/>
                <w:sz w:val="24"/>
                <w:szCs w:val="24"/>
              </w:rPr>
              <w:t>Projekt przyczynia się do redukcji emisji gazów cieplarnianych</w:t>
            </w:r>
            <w:r>
              <w:rPr>
                <w:rFonts w:cstheme="minorHAnsi"/>
                <w:sz w:val="24"/>
                <w:szCs w:val="24"/>
              </w:rPr>
              <w:t>,</w:t>
            </w:r>
            <w:r w:rsidRPr="00822661">
              <w:rPr>
                <w:rFonts w:cstheme="minorHAnsi"/>
                <w:sz w:val="24"/>
                <w:szCs w:val="24"/>
              </w:rPr>
              <w:t xml:space="preserve"> pochodzących z transportu</w:t>
            </w:r>
            <w:r>
              <w:rPr>
                <w:rFonts w:cstheme="minorHAnsi"/>
                <w:sz w:val="24"/>
                <w:szCs w:val="24"/>
              </w:rPr>
              <w:t>,</w:t>
            </w:r>
            <w:r w:rsidRPr="00822661">
              <w:rPr>
                <w:rFonts w:cstheme="minorHAnsi"/>
                <w:sz w:val="24"/>
                <w:szCs w:val="24"/>
              </w:rPr>
              <w:t xml:space="preserve"> mierzonej jako ekwiwalent CO</w:t>
            </w:r>
            <w:r w:rsidRPr="00822661">
              <w:rPr>
                <w:rFonts w:cstheme="minorHAnsi"/>
                <w:sz w:val="24"/>
                <w:szCs w:val="24"/>
                <w:vertAlign w:val="subscript"/>
              </w:rPr>
              <w:t>2</w:t>
            </w:r>
            <w:r w:rsidRPr="00822661">
              <w:rPr>
                <w:rFonts w:cstheme="minorHAnsi"/>
                <w:sz w:val="24"/>
                <w:szCs w:val="24"/>
              </w:rPr>
              <w:t>. Analizie poddane zostaną dane wynikające z dokumentów planistycznych w zakresie mobilności miejskiej wskazanego obszaru oraz wniosku o</w:t>
            </w:r>
            <w:r w:rsidR="00A34B45">
              <w:rPr>
                <w:rFonts w:cstheme="minorHAnsi"/>
                <w:sz w:val="24"/>
                <w:szCs w:val="24"/>
              </w:rPr>
              <w:t> </w:t>
            </w:r>
            <w:r w:rsidRPr="00822661">
              <w:rPr>
                <w:rFonts w:cstheme="minorHAnsi"/>
                <w:sz w:val="24"/>
                <w:szCs w:val="24"/>
              </w:rPr>
              <w:t>dofinansowanie (wybór i określenie wartości bazowej i docelowej (niższej niż bazowa) dla wskaźnika „Szacowana emisja gazów cieplarnianych” tony równoważnika CO2/rok).</w:t>
            </w:r>
          </w:p>
          <w:p w14:paraId="0105AE01" w14:textId="23A91120" w:rsidR="00CA6716" w:rsidRPr="00822661" w:rsidRDefault="00CA6716" w:rsidP="008A0729">
            <w:pPr>
              <w:widowControl w:val="0"/>
              <w:spacing w:after="0"/>
              <w:rPr>
                <w:rFonts w:cstheme="minorHAnsi"/>
                <w:sz w:val="24"/>
                <w:szCs w:val="24"/>
              </w:rPr>
            </w:pPr>
            <w:r w:rsidRPr="00822661">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26614F25" w14:textId="58C549B2" w:rsidR="00CA6716" w:rsidRPr="00822661" w:rsidRDefault="00CA6716">
            <w:pPr>
              <w:widowControl w:val="0"/>
              <w:spacing w:after="0"/>
              <w:rPr>
                <w:rFonts w:cstheme="minorHAnsi"/>
                <w:sz w:val="24"/>
                <w:szCs w:val="24"/>
              </w:rPr>
            </w:pPr>
            <w:r w:rsidRPr="00822661">
              <w:rPr>
                <w:rFonts w:cstheme="minorHAnsi"/>
                <w:sz w:val="24"/>
                <w:szCs w:val="24"/>
              </w:rPr>
              <w:t>Kryterium bezwzględne (0/1)</w:t>
            </w:r>
          </w:p>
        </w:tc>
      </w:tr>
      <w:tr w:rsidR="00CA6716" w14:paraId="1529A05A" w14:textId="2E0C2374" w:rsidTr="00CA6716">
        <w:trPr>
          <w:trHeight w:val="564"/>
        </w:trPr>
        <w:tc>
          <w:tcPr>
            <w:tcW w:w="573" w:type="dxa"/>
            <w:tcBorders>
              <w:top w:val="single" w:sz="4" w:space="0" w:color="92D050"/>
              <w:left w:val="single" w:sz="4" w:space="0" w:color="92D050"/>
              <w:bottom w:val="single" w:sz="4" w:space="0" w:color="92D050"/>
              <w:right w:val="single" w:sz="4" w:space="0" w:color="92D050"/>
            </w:tcBorders>
            <w:vAlign w:val="center"/>
          </w:tcPr>
          <w:p w14:paraId="13DAD239" w14:textId="77777777" w:rsidR="00CA6716" w:rsidRPr="00284496" w:rsidRDefault="00CA6716">
            <w:pPr>
              <w:widowControl w:val="0"/>
              <w:spacing w:after="0"/>
              <w:rPr>
                <w:rFonts w:cstheme="minorHAnsi"/>
                <w:sz w:val="24"/>
                <w:szCs w:val="24"/>
                <w:highlight w:val="yellow"/>
              </w:rPr>
            </w:pPr>
            <w:r w:rsidRPr="00284496">
              <w:rPr>
                <w:rFonts w:cstheme="minorHAnsi"/>
                <w:sz w:val="24"/>
                <w:szCs w:val="24"/>
              </w:rPr>
              <w:t>4.</w:t>
            </w:r>
          </w:p>
        </w:tc>
        <w:tc>
          <w:tcPr>
            <w:tcW w:w="2688" w:type="dxa"/>
            <w:tcBorders>
              <w:top w:val="single" w:sz="4" w:space="0" w:color="92D050"/>
              <w:left w:val="single" w:sz="4" w:space="0" w:color="92D050"/>
              <w:bottom w:val="single" w:sz="4" w:space="0" w:color="92D050"/>
              <w:right w:val="single" w:sz="4" w:space="0" w:color="92D050"/>
            </w:tcBorders>
            <w:vAlign w:val="center"/>
          </w:tcPr>
          <w:p w14:paraId="4CBF912C" w14:textId="20335A26" w:rsidR="00CA6716" w:rsidRPr="00822661" w:rsidRDefault="00CA6716" w:rsidP="002E2F6A">
            <w:pPr>
              <w:widowControl w:val="0"/>
              <w:spacing w:after="0"/>
              <w:rPr>
                <w:rFonts w:cstheme="minorHAnsi"/>
                <w:sz w:val="24"/>
                <w:szCs w:val="24"/>
              </w:rPr>
            </w:pPr>
            <w:r w:rsidRPr="00822661">
              <w:rPr>
                <w:rFonts w:cstheme="minorHAnsi"/>
                <w:sz w:val="24"/>
                <w:szCs w:val="24"/>
              </w:rPr>
              <w:t xml:space="preserve">Zakup bezemisyjnego </w:t>
            </w:r>
            <w:r w:rsidRPr="00822661">
              <w:rPr>
                <w:rFonts w:cstheme="minorHAnsi"/>
                <w:sz w:val="24"/>
                <w:szCs w:val="24"/>
              </w:rPr>
              <w:br/>
              <w:t xml:space="preserve">i niskoemisyjnego taboru autobusowego </w:t>
            </w:r>
            <w:r w:rsidRPr="00822661">
              <w:rPr>
                <w:rFonts w:cstheme="minorHAnsi"/>
                <w:sz w:val="24"/>
                <w:szCs w:val="24"/>
              </w:rPr>
              <w:br/>
              <w:t>(jeśli dotyczy)</w:t>
            </w:r>
          </w:p>
        </w:tc>
        <w:tc>
          <w:tcPr>
            <w:tcW w:w="9780" w:type="dxa"/>
            <w:tcBorders>
              <w:top w:val="single" w:sz="4" w:space="0" w:color="92D050"/>
              <w:left w:val="single" w:sz="4" w:space="0" w:color="92D050"/>
              <w:bottom w:val="single" w:sz="4" w:space="0" w:color="92D050"/>
              <w:right w:val="single" w:sz="4" w:space="0" w:color="92D050"/>
            </w:tcBorders>
            <w:vAlign w:val="center"/>
          </w:tcPr>
          <w:p w14:paraId="6C313539" w14:textId="0BECD7F6" w:rsidR="00CA6716" w:rsidRPr="00822661" w:rsidRDefault="00CA6716" w:rsidP="0063670D">
            <w:pPr>
              <w:widowControl w:val="0"/>
              <w:spacing w:after="120"/>
              <w:rPr>
                <w:rFonts w:cstheme="minorHAnsi"/>
                <w:sz w:val="24"/>
                <w:szCs w:val="24"/>
              </w:rPr>
            </w:pPr>
            <w:r w:rsidRPr="00822661">
              <w:rPr>
                <w:rFonts w:cstheme="minorHAnsi"/>
                <w:sz w:val="24"/>
                <w:szCs w:val="24"/>
              </w:rPr>
              <w:t>Inwestycje dotyczące zakupu bezemisyjnego i niskoemisyjnego taboru autobusowego możliwe będą do realizacji jako element projektu lub samodzielny projekt.</w:t>
            </w:r>
          </w:p>
          <w:p w14:paraId="36D3CFA8" w14:textId="03890361" w:rsidR="00CA6716" w:rsidRPr="003B23B5" w:rsidRDefault="00CA6716" w:rsidP="0063670D">
            <w:pPr>
              <w:widowControl w:val="0"/>
              <w:spacing w:after="120"/>
              <w:rPr>
                <w:rFonts w:cstheme="minorHAnsi"/>
                <w:color w:val="FF0000"/>
                <w:sz w:val="24"/>
                <w:szCs w:val="24"/>
              </w:rPr>
            </w:pPr>
            <w:r w:rsidRPr="00822661">
              <w:rPr>
                <w:rFonts w:cstheme="minorHAnsi"/>
                <w:sz w:val="24"/>
                <w:szCs w:val="24"/>
              </w:rPr>
              <w:t>O dofinansowanie ubiegać się mogą jedynie inwestycje w „ekologicznie czyste pojazdy”, w</w:t>
            </w:r>
            <w:r w:rsidR="00A34B45">
              <w:rPr>
                <w:rFonts w:cstheme="minorHAnsi"/>
                <w:sz w:val="24"/>
                <w:szCs w:val="24"/>
              </w:rPr>
              <w:t> </w:t>
            </w:r>
            <w:r w:rsidRPr="00822661">
              <w:rPr>
                <w:rFonts w:cstheme="minorHAnsi"/>
                <w:sz w:val="24"/>
                <w:szCs w:val="24"/>
              </w:rPr>
              <w:t>rozumieniu dyrektywy Parlamentu Europejskiego i Rady 2019/1161 z dnia 20 czerwca 2019 r. zmieniającej dyrektywę 2009/33/WE</w:t>
            </w:r>
            <w:r>
              <w:rPr>
                <w:rFonts w:cstheme="minorHAnsi"/>
                <w:sz w:val="24"/>
                <w:szCs w:val="24"/>
              </w:rPr>
              <w:t>*</w:t>
            </w:r>
            <w:r w:rsidRPr="00822661">
              <w:rPr>
                <w:rFonts w:cstheme="minorHAnsi"/>
                <w:sz w:val="24"/>
                <w:szCs w:val="24"/>
              </w:rPr>
              <w:t xml:space="preserve">, przy czym zakup taboru niskoemisyjnego będzie możliwy </w:t>
            </w:r>
            <w:r w:rsidRPr="00822661">
              <w:rPr>
                <w:rFonts w:cstheme="minorHAnsi"/>
                <w:sz w:val="24"/>
                <w:szCs w:val="24"/>
              </w:rPr>
              <w:lastRenderedPageBreak/>
              <w:t xml:space="preserve">tylko wtedy, gdy zakup taboru o zerowej emisji (elektryczne BEV, wodorowe FCV) nie będzie zasadny z powodów eksploatacyjnych lub </w:t>
            </w:r>
            <w:r w:rsidRPr="00DC219A">
              <w:rPr>
                <w:rFonts w:cstheme="minorHAnsi"/>
                <w:sz w:val="24"/>
                <w:szCs w:val="24"/>
              </w:rPr>
              <w:t xml:space="preserve">technicznych (np. eksploatacja pojazdów w terenie górzystym przy braku możliwości częstego ładowania czy też na terenach wiejskich przy dużych przebiegach pojazdów i niewystarczającym zasięgu pojazdów elektrycznych). </w:t>
            </w:r>
          </w:p>
          <w:p w14:paraId="5313159A" w14:textId="2C34E8D5" w:rsidR="00CA6716" w:rsidRPr="00822661" w:rsidRDefault="00CA6716" w:rsidP="0063670D">
            <w:pPr>
              <w:widowControl w:val="0"/>
              <w:spacing w:after="120"/>
              <w:rPr>
                <w:rFonts w:cstheme="minorHAnsi"/>
                <w:sz w:val="24"/>
                <w:szCs w:val="24"/>
              </w:rPr>
            </w:pPr>
            <w:r w:rsidRPr="00822661">
              <w:rPr>
                <w:rFonts w:cstheme="minorHAnsi"/>
                <w:sz w:val="24"/>
                <w:szCs w:val="24"/>
              </w:rPr>
              <w:t>Do taboru niskoemisyjnego spełniającego wymogi „ekologicznie czystych pojazdów”</w:t>
            </w:r>
            <w:r>
              <w:rPr>
                <w:rFonts w:cstheme="minorHAnsi"/>
                <w:sz w:val="24"/>
                <w:szCs w:val="24"/>
              </w:rPr>
              <w:t>,</w:t>
            </w:r>
            <w:r w:rsidRPr="00822661">
              <w:rPr>
                <w:rFonts w:cstheme="minorHAnsi"/>
                <w:sz w:val="24"/>
                <w:szCs w:val="24"/>
              </w:rPr>
              <w:t xml:space="preserve"> zalicza się autobusy napędzane LNG, CNG, LPG lub o napędzie hybrydowym PHEV (plug – in) lub HEV ale łączący gaz (CNG, LNG, LPG) z elektrycznym – w zależności od wielkości pojazdów</w:t>
            </w:r>
            <w:r>
              <w:rPr>
                <w:rFonts w:cstheme="minorHAnsi"/>
                <w:sz w:val="24"/>
                <w:szCs w:val="24"/>
              </w:rPr>
              <w:t>*</w:t>
            </w:r>
            <w:r w:rsidRPr="00822661">
              <w:rPr>
                <w:rFonts w:cstheme="minorHAnsi"/>
                <w:sz w:val="24"/>
                <w:szCs w:val="24"/>
              </w:rPr>
              <w:t>*, zgodnie z</w:t>
            </w:r>
            <w:r w:rsidR="00A34B45">
              <w:rPr>
                <w:rFonts w:cstheme="minorHAnsi"/>
                <w:sz w:val="24"/>
                <w:szCs w:val="24"/>
              </w:rPr>
              <w:t> </w:t>
            </w:r>
            <w:r w:rsidRPr="00822661">
              <w:rPr>
                <w:rFonts w:cstheme="minorHAnsi"/>
                <w:sz w:val="24"/>
                <w:szCs w:val="24"/>
              </w:rPr>
              <w:t>zapisami dyrektywy 2019/1161 z dnia 20 czerwca 2019 zmieniającej dyrektywę 2009/33/WE.</w:t>
            </w:r>
          </w:p>
          <w:p w14:paraId="76D234EC" w14:textId="1E1AF8BC" w:rsidR="00CA6716" w:rsidRPr="00822661" w:rsidRDefault="00CA6716" w:rsidP="0063670D">
            <w:pPr>
              <w:widowControl w:val="0"/>
              <w:spacing w:after="120"/>
              <w:rPr>
                <w:rFonts w:cstheme="minorHAnsi"/>
                <w:sz w:val="24"/>
                <w:szCs w:val="24"/>
              </w:rPr>
            </w:pPr>
            <w:r w:rsidRPr="00822661">
              <w:rPr>
                <w:rFonts w:cstheme="minorHAnsi"/>
                <w:sz w:val="24"/>
                <w:szCs w:val="24"/>
              </w:rPr>
              <w:t>Do kategorii niskoemisyjnego taboru nie zalicza się tzw. miękkich hybryd (mild hybrid – MHEV) ani klasyczn</w:t>
            </w:r>
            <w:r>
              <w:rPr>
                <w:rFonts w:cstheme="minorHAnsi"/>
                <w:sz w:val="24"/>
                <w:szCs w:val="24"/>
              </w:rPr>
              <w:t>ych</w:t>
            </w:r>
            <w:r w:rsidRPr="00822661">
              <w:rPr>
                <w:rFonts w:cstheme="minorHAnsi"/>
                <w:sz w:val="24"/>
                <w:szCs w:val="24"/>
              </w:rPr>
              <w:t xml:space="preserve"> hybryd (HEV) łącząc</w:t>
            </w:r>
            <w:r>
              <w:rPr>
                <w:rFonts w:cstheme="minorHAnsi"/>
                <w:sz w:val="24"/>
                <w:szCs w:val="24"/>
              </w:rPr>
              <w:t>e</w:t>
            </w:r>
            <w:r w:rsidRPr="00822661">
              <w:rPr>
                <w:rFonts w:cstheme="minorHAnsi"/>
                <w:sz w:val="24"/>
                <w:szCs w:val="24"/>
              </w:rPr>
              <w:t xml:space="preserve"> napęd diesel – elektryczny lub benzyna – elektryczny.</w:t>
            </w:r>
          </w:p>
          <w:p w14:paraId="7E2C223C" w14:textId="7AB6B2B0" w:rsidR="00CA6716" w:rsidRDefault="00CA6716" w:rsidP="0063670D">
            <w:pPr>
              <w:widowControl w:val="0"/>
              <w:spacing w:after="120"/>
              <w:rPr>
                <w:rFonts w:cstheme="minorHAnsi"/>
                <w:sz w:val="24"/>
                <w:szCs w:val="24"/>
              </w:rPr>
            </w:pPr>
            <w:r w:rsidRPr="00822661">
              <w:rPr>
                <w:rFonts w:cstheme="minorHAnsi"/>
                <w:sz w:val="24"/>
                <w:szCs w:val="24"/>
              </w:rPr>
              <w:t>Kryterium weryfikowane na podstawie zapisów wniosku o dofinansowanie i załączników i/lub wyjaśnień udzielonych przez Wnioskodawcę.</w:t>
            </w:r>
          </w:p>
          <w:p w14:paraId="0D84931D" w14:textId="6274A705" w:rsidR="00CA6716" w:rsidRPr="00E358FE" w:rsidRDefault="00CA6716" w:rsidP="0063670D">
            <w:pPr>
              <w:widowControl w:val="0"/>
              <w:spacing w:after="120"/>
              <w:rPr>
                <w:rFonts w:cstheme="minorHAnsi"/>
                <w:sz w:val="24"/>
                <w:szCs w:val="24"/>
              </w:rPr>
            </w:pPr>
            <w:r w:rsidRPr="00E358FE">
              <w:rPr>
                <w:rFonts w:cstheme="minorHAnsi"/>
                <w:sz w:val="24"/>
                <w:szCs w:val="24"/>
              </w:rPr>
              <w:t xml:space="preserve">* </w:t>
            </w:r>
            <w:r w:rsidRPr="003B23B5">
              <w:rPr>
                <w:sz w:val="24"/>
                <w:szCs w:val="24"/>
              </w:rPr>
              <w:t>https://www.gov.pl/web/infrastruktura/podstawa-prawna</w:t>
            </w:r>
          </w:p>
          <w:p w14:paraId="4A9812D7" w14:textId="017EF08D" w:rsidR="00CA6716" w:rsidRPr="00822661" w:rsidRDefault="00CA6716" w:rsidP="0063670D">
            <w:pPr>
              <w:pStyle w:val="Tekstprzypisudolnego"/>
              <w:spacing w:after="120" w:line="276" w:lineRule="auto"/>
              <w:rPr>
                <w:rFonts w:asciiTheme="minorHAnsi" w:hAnsiTheme="minorHAnsi" w:cstheme="minorHAnsi"/>
                <w:sz w:val="24"/>
                <w:lang w:bidi="pl-PL"/>
              </w:rPr>
            </w:pPr>
            <w:r w:rsidRPr="00822661">
              <w:rPr>
                <w:rFonts w:asciiTheme="minorHAnsi" w:hAnsiTheme="minorHAnsi" w:cstheme="minorHAnsi"/>
                <w:sz w:val="24"/>
                <w:szCs w:val="24"/>
              </w:rPr>
              <w:t>*</w:t>
            </w:r>
            <w:r>
              <w:rPr>
                <w:rFonts w:asciiTheme="minorHAnsi" w:hAnsiTheme="minorHAnsi" w:cstheme="minorHAnsi"/>
                <w:sz w:val="24"/>
                <w:szCs w:val="24"/>
              </w:rPr>
              <w:t>*</w:t>
            </w:r>
            <w:r w:rsidRPr="00822661">
              <w:rPr>
                <w:rFonts w:asciiTheme="minorHAnsi" w:hAnsiTheme="minorHAnsi" w:cstheme="minorHAnsi"/>
                <w:sz w:val="24"/>
                <w:szCs w:val="24"/>
              </w:rPr>
              <w:t xml:space="preserve"> </w:t>
            </w:r>
            <w:r w:rsidRPr="00822661">
              <w:rPr>
                <w:rFonts w:asciiTheme="minorHAnsi" w:hAnsiTheme="minorHAnsi" w:cstheme="minorHAnsi"/>
                <w:b/>
                <w:sz w:val="24"/>
                <w:lang w:bidi="pl-PL"/>
              </w:rPr>
              <w:t>Małe autobusy</w:t>
            </w:r>
            <w:r w:rsidRPr="00822661">
              <w:rPr>
                <w:rFonts w:asciiTheme="minorHAnsi" w:hAnsiTheme="minorHAnsi" w:cstheme="minorHAnsi"/>
                <w:sz w:val="24"/>
                <w:lang w:bidi="pl-PL"/>
              </w:rPr>
              <w:t xml:space="preserve"> – pojazdy mające max. 8 miejsc dla pasażerów siedzących i niemające miejsc dla pasażerów stojących, a także pojazdy powyżej 8 miejsc dla pasażerów siedzących, jeżeli ich masa maksymalna nie przekracza 5 ton: </w:t>
            </w:r>
          </w:p>
          <w:p w14:paraId="4717AD1A" w14:textId="55C74380" w:rsidR="00CA6716" w:rsidRPr="00822661" w:rsidRDefault="00CA6716" w:rsidP="29E9A49B">
            <w:pPr>
              <w:pStyle w:val="Tekstprzypisudolnego"/>
              <w:numPr>
                <w:ilvl w:val="0"/>
                <w:numId w:val="18"/>
              </w:numPr>
              <w:spacing w:after="120" w:line="276" w:lineRule="auto"/>
              <w:ind w:left="243" w:hanging="243"/>
              <w:rPr>
                <w:rFonts w:asciiTheme="minorHAnsi" w:hAnsiTheme="minorHAnsi" w:cstheme="minorHAnsi"/>
                <w:sz w:val="24"/>
                <w:szCs w:val="24"/>
                <w:lang w:bidi="pl-PL"/>
              </w:rPr>
            </w:pPr>
            <w:r w:rsidRPr="00822661">
              <w:rPr>
                <w:rFonts w:asciiTheme="minorHAnsi" w:hAnsiTheme="minorHAnsi" w:cstheme="minorHAnsi"/>
                <w:b/>
                <w:bCs/>
                <w:sz w:val="24"/>
                <w:szCs w:val="24"/>
                <w:lang w:bidi="pl-PL"/>
              </w:rPr>
              <w:t>do 31 grudnia 2025 r.</w:t>
            </w:r>
            <w:r w:rsidRPr="00822661">
              <w:rPr>
                <w:rFonts w:asciiTheme="minorHAnsi" w:hAnsiTheme="minorHAnsi" w:cstheme="minorHAnsi"/>
                <w:sz w:val="24"/>
                <w:szCs w:val="24"/>
                <w:lang w:bidi="pl-PL"/>
              </w:rPr>
              <w:t xml:space="preserve"> – pojazdy spełniające normę emisji CO2 50 g/km i 80 % maksymalnej dopuszczalnej emisji zanieczyszczeń powietrza (cząstek stałych i tlenków azotu) tj. pojazdy bezemisyjne</w:t>
            </w:r>
            <w:r>
              <w:rPr>
                <w:rFonts w:asciiTheme="minorHAnsi" w:hAnsiTheme="minorHAnsi" w:cstheme="minorHAnsi"/>
                <w:sz w:val="24"/>
                <w:szCs w:val="24"/>
                <w:lang w:bidi="pl-PL"/>
              </w:rPr>
              <w:t>j</w:t>
            </w:r>
            <w:r w:rsidRPr="00822661">
              <w:rPr>
                <w:rFonts w:asciiTheme="minorHAnsi" w:hAnsiTheme="minorHAnsi" w:cstheme="minorHAnsi"/>
                <w:sz w:val="24"/>
                <w:szCs w:val="24"/>
                <w:lang w:bidi="pl-PL"/>
              </w:rPr>
              <w:t xml:space="preserve"> (BEV, FCV) oraz hybrydy plug-in (PHEV)</w:t>
            </w:r>
            <w:r>
              <w:rPr>
                <w:rFonts w:asciiTheme="minorHAnsi" w:hAnsiTheme="minorHAnsi" w:cstheme="minorHAnsi"/>
                <w:sz w:val="24"/>
                <w:szCs w:val="24"/>
                <w:lang w:bidi="pl-PL"/>
              </w:rPr>
              <w:t>,</w:t>
            </w:r>
          </w:p>
          <w:p w14:paraId="7258A6F8" w14:textId="77777777" w:rsidR="00CA6716" w:rsidRPr="00822661" w:rsidRDefault="00CA6716" w:rsidP="0063670D">
            <w:pPr>
              <w:pStyle w:val="Tekstprzypisudolnego"/>
              <w:numPr>
                <w:ilvl w:val="0"/>
                <w:numId w:val="18"/>
              </w:numPr>
              <w:spacing w:after="120" w:line="276" w:lineRule="auto"/>
              <w:ind w:left="243" w:hanging="243"/>
              <w:rPr>
                <w:rFonts w:asciiTheme="minorHAnsi" w:hAnsiTheme="minorHAnsi" w:cstheme="minorHAnsi"/>
                <w:sz w:val="24"/>
                <w:lang w:bidi="pl-PL"/>
              </w:rPr>
            </w:pPr>
            <w:r w:rsidRPr="00822661">
              <w:rPr>
                <w:rFonts w:asciiTheme="minorHAnsi" w:hAnsiTheme="minorHAnsi" w:cstheme="minorHAnsi"/>
                <w:b/>
                <w:sz w:val="24"/>
                <w:lang w:bidi="pl-PL"/>
              </w:rPr>
              <w:lastRenderedPageBreak/>
              <w:t>po 1 stycznia 2026 r.</w:t>
            </w:r>
            <w:r w:rsidRPr="00822661">
              <w:rPr>
                <w:rFonts w:asciiTheme="minorHAnsi" w:hAnsiTheme="minorHAnsi" w:cstheme="minorHAnsi"/>
                <w:sz w:val="24"/>
                <w:lang w:bidi="pl-PL"/>
              </w:rPr>
              <w:t xml:space="preserve"> – tylko pojazdy bezemisyjne (BEV,  FCV). </w:t>
            </w:r>
          </w:p>
          <w:p w14:paraId="4E0A60D8" w14:textId="1EE8FDA1" w:rsidR="00CA6716" w:rsidRPr="00822661" w:rsidRDefault="00CA6716" w:rsidP="0063670D">
            <w:pPr>
              <w:pStyle w:val="Tekstprzypisudolnego"/>
              <w:spacing w:after="120" w:line="276" w:lineRule="auto"/>
              <w:rPr>
                <w:rFonts w:asciiTheme="minorHAnsi" w:hAnsiTheme="minorHAnsi" w:cstheme="minorHAnsi"/>
                <w:sz w:val="24"/>
                <w:lang w:bidi="pl-PL"/>
              </w:rPr>
            </w:pPr>
            <w:r w:rsidRPr="00822661">
              <w:rPr>
                <w:rFonts w:asciiTheme="minorHAnsi" w:hAnsiTheme="minorHAnsi" w:cstheme="minorHAnsi"/>
                <w:b/>
                <w:sz w:val="24"/>
                <w:lang w:bidi="pl-PL"/>
              </w:rPr>
              <w:t>Duże autobusy</w:t>
            </w:r>
            <w:r w:rsidRPr="00822661">
              <w:rPr>
                <w:rFonts w:asciiTheme="minorHAnsi" w:hAnsiTheme="minorHAnsi" w:cstheme="minorHAnsi"/>
                <w:sz w:val="24"/>
                <w:lang w:bidi="pl-PL"/>
              </w:rPr>
              <w:t xml:space="preserve"> – pojazdy powyżej 8 miejsc dla pasażerów siedzących, jeżeli ich masa maksymalna przekracza 5 ton: </w:t>
            </w:r>
          </w:p>
          <w:p w14:paraId="70BF4A08" w14:textId="77777777" w:rsidR="00CA6716" w:rsidRDefault="00CA6716" w:rsidP="003B23B5">
            <w:pPr>
              <w:pStyle w:val="Tekstprzypisudolnego"/>
              <w:numPr>
                <w:ilvl w:val="0"/>
                <w:numId w:val="19"/>
              </w:numPr>
              <w:spacing w:line="276" w:lineRule="auto"/>
              <w:ind w:left="243" w:hanging="243"/>
              <w:rPr>
                <w:rFonts w:asciiTheme="minorHAnsi" w:hAnsiTheme="minorHAnsi" w:cstheme="minorHAnsi"/>
                <w:sz w:val="24"/>
                <w:szCs w:val="24"/>
              </w:rPr>
            </w:pPr>
            <w:r w:rsidRPr="00822661">
              <w:rPr>
                <w:rFonts w:asciiTheme="minorHAnsi" w:hAnsiTheme="minorHAnsi" w:cstheme="minorHAnsi"/>
                <w:sz w:val="24"/>
                <w:szCs w:val="24"/>
                <w:lang w:bidi="pl-PL"/>
              </w:rPr>
              <w:t>pojazdy napędzane paliwami alternatywnymi (BEV, FCV, PHEV, HEV</w:t>
            </w:r>
            <w:r>
              <w:rPr>
                <w:rFonts w:asciiTheme="minorHAnsi" w:hAnsiTheme="minorHAnsi" w:cstheme="minorHAnsi"/>
                <w:sz w:val="24"/>
                <w:szCs w:val="24"/>
                <w:lang w:bidi="pl-PL"/>
              </w:rPr>
              <w:t>*</w:t>
            </w:r>
            <w:r w:rsidRPr="00822661">
              <w:rPr>
                <w:rFonts w:asciiTheme="minorHAnsi" w:hAnsiTheme="minorHAnsi" w:cstheme="minorHAnsi"/>
                <w:sz w:val="24"/>
                <w:szCs w:val="24"/>
                <w:lang w:bidi="pl-PL"/>
              </w:rPr>
              <w:t>, LNG, CNG, LPG).</w:t>
            </w:r>
          </w:p>
          <w:p w14:paraId="55DB27E9" w14:textId="77777777" w:rsidR="00CA6716" w:rsidRDefault="00CA6716" w:rsidP="00A34B45">
            <w:pPr>
              <w:pStyle w:val="Tekstprzypisudolnego"/>
              <w:spacing w:line="276" w:lineRule="auto"/>
              <w:rPr>
                <w:rFonts w:asciiTheme="minorHAnsi" w:hAnsiTheme="minorHAnsi" w:cstheme="minorHAnsi"/>
                <w:sz w:val="24"/>
                <w:szCs w:val="24"/>
              </w:rPr>
            </w:pPr>
          </w:p>
          <w:p w14:paraId="633A04FB" w14:textId="2D669548" w:rsidR="00CA6716" w:rsidRDefault="00CA6716" w:rsidP="00E32E96">
            <w:pPr>
              <w:pStyle w:val="Tekstprzypisudolnego"/>
              <w:spacing w:after="120" w:line="276" w:lineRule="auto"/>
              <w:rPr>
                <w:rFonts w:asciiTheme="minorHAnsi" w:hAnsiTheme="minorHAnsi" w:cstheme="minorHAnsi"/>
                <w:sz w:val="24"/>
                <w:szCs w:val="24"/>
              </w:rPr>
            </w:pPr>
            <w:r w:rsidRPr="00D7352B">
              <w:rPr>
                <w:rFonts w:asciiTheme="minorHAnsi" w:hAnsiTheme="minorHAnsi" w:cstheme="minorHAnsi"/>
                <w:sz w:val="24"/>
                <w:szCs w:val="24"/>
                <w:lang w:bidi="pl-PL"/>
              </w:rPr>
              <w:t>*</w:t>
            </w:r>
            <w:r w:rsidRPr="00D7352B">
              <w:rPr>
                <w:rFonts w:asciiTheme="minorHAnsi" w:hAnsiTheme="minorHAnsi" w:cstheme="minorHAnsi"/>
                <w:sz w:val="24"/>
                <w:szCs w:val="24"/>
              </w:rPr>
              <w:t xml:space="preserve"> tzn. łączące napęd gazowy (CNG, LNG, LPG) z elektrycznym</w:t>
            </w:r>
          </w:p>
          <w:p w14:paraId="79453A37" w14:textId="1A61A30E" w:rsidR="00CA6716" w:rsidRPr="00822661" w:rsidRDefault="00CA6716" w:rsidP="00E32E96">
            <w:pPr>
              <w:spacing w:after="0"/>
              <w:rPr>
                <w:rFonts w:cstheme="minorHAnsi"/>
                <w:sz w:val="24"/>
                <w:szCs w:val="24"/>
              </w:rPr>
            </w:pPr>
            <w:r w:rsidRPr="00D7352B">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6FD7532D" w14:textId="77777777" w:rsidR="00CA6716" w:rsidRPr="00822661" w:rsidRDefault="00CA6716">
            <w:pPr>
              <w:widowControl w:val="0"/>
              <w:spacing w:after="0"/>
              <w:rPr>
                <w:rFonts w:cstheme="minorHAnsi"/>
                <w:sz w:val="24"/>
                <w:szCs w:val="24"/>
              </w:rPr>
            </w:pPr>
            <w:r w:rsidRPr="00822661">
              <w:rPr>
                <w:rFonts w:cstheme="minorHAnsi"/>
                <w:sz w:val="24"/>
                <w:szCs w:val="24"/>
              </w:rPr>
              <w:lastRenderedPageBreak/>
              <w:t>Kryterium bezwzględne (0/1)</w:t>
            </w:r>
          </w:p>
          <w:p w14:paraId="5826510A" w14:textId="77777777" w:rsidR="00CA6716" w:rsidRPr="00822661" w:rsidRDefault="00CA6716">
            <w:pPr>
              <w:widowControl w:val="0"/>
              <w:spacing w:after="0"/>
              <w:rPr>
                <w:rFonts w:cstheme="minorHAnsi"/>
                <w:sz w:val="24"/>
                <w:szCs w:val="24"/>
              </w:rPr>
            </w:pPr>
          </w:p>
          <w:p w14:paraId="329EE7A6" w14:textId="77777777" w:rsidR="00CA6716" w:rsidRPr="00822661" w:rsidRDefault="00CA6716" w:rsidP="009502D9">
            <w:pPr>
              <w:pStyle w:val="Tekstprzypisudolnego"/>
              <w:ind w:left="243"/>
              <w:rPr>
                <w:rFonts w:asciiTheme="minorHAnsi" w:hAnsiTheme="minorHAnsi" w:cstheme="minorHAnsi"/>
                <w:sz w:val="24"/>
                <w:szCs w:val="24"/>
              </w:rPr>
            </w:pPr>
          </w:p>
        </w:tc>
      </w:tr>
      <w:tr w:rsidR="00CA6716" w14:paraId="3D2FD174" w14:textId="6135E102" w:rsidTr="00CA6716">
        <w:trPr>
          <w:trHeight w:val="564"/>
        </w:trPr>
        <w:tc>
          <w:tcPr>
            <w:tcW w:w="573" w:type="dxa"/>
            <w:tcBorders>
              <w:top w:val="single" w:sz="4" w:space="0" w:color="92D050"/>
              <w:left w:val="single" w:sz="4" w:space="0" w:color="92D050"/>
              <w:bottom w:val="single" w:sz="4" w:space="0" w:color="92D050"/>
              <w:right w:val="single" w:sz="4" w:space="0" w:color="92D050"/>
            </w:tcBorders>
            <w:vAlign w:val="center"/>
          </w:tcPr>
          <w:p w14:paraId="3286C0BC" w14:textId="3C0EEC5F" w:rsidR="00CA6716" w:rsidRPr="00284496" w:rsidRDefault="00835894">
            <w:pPr>
              <w:widowControl w:val="0"/>
              <w:spacing w:after="0"/>
              <w:rPr>
                <w:rFonts w:cstheme="minorHAnsi"/>
                <w:sz w:val="24"/>
                <w:szCs w:val="24"/>
                <w:highlight w:val="yellow"/>
              </w:rPr>
            </w:pPr>
            <w:r>
              <w:rPr>
                <w:rFonts w:cstheme="minorHAnsi"/>
                <w:sz w:val="24"/>
                <w:szCs w:val="24"/>
              </w:rPr>
              <w:lastRenderedPageBreak/>
              <w:t>5</w:t>
            </w:r>
            <w:r w:rsidR="00CA6716" w:rsidRPr="00284496">
              <w:rPr>
                <w:rFonts w:cstheme="minorHAnsi"/>
                <w:sz w:val="24"/>
                <w:szCs w:val="24"/>
              </w:rPr>
              <w:t>.</w:t>
            </w:r>
          </w:p>
        </w:tc>
        <w:tc>
          <w:tcPr>
            <w:tcW w:w="2688" w:type="dxa"/>
            <w:tcBorders>
              <w:top w:val="single" w:sz="4" w:space="0" w:color="92D050"/>
              <w:left w:val="single" w:sz="4" w:space="0" w:color="92D050"/>
              <w:bottom w:val="single" w:sz="4" w:space="0" w:color="92D050"/>
              <w:right w:val="single" w:sz="4" w:space="0" w:color="92D050"/>
            </w:tcBorders>
            <w:vAlign w:val="center"/>
          </w:tcPr>
          <w:p w14:paraId="769CBF8A" w14:textId="6B32A275" w:rsidR="00CA6716" w:rsidRPr="00822661" w:rsidRDefault="00CA6716">
            <w:pPr>
              <w:widowControl w:val="0"/>
              <w:spacing w:after="0"/>
              <w:rPr>
                <w:rFonts w:cstheme="minorHAnsi"/>
                <w:sz w:val="24"/>
                <w:szCs w:val="24"/>
              </w:rPr>
            </w:pPr>
            <w:r w:rsidRPr="00822661">
              <w:rPr>
                <w:rFonts w:cstheme="minorHAnsi"/>
                <w:sz w:val="24"/>
                <w:szCs w:val="24"/>
              </w:rPr>
              <w:t xml:space="preserve">Inwestycje </w:t>
            </w:r>
            <w:r w:rsidRPr="00822661">
              <w:rPr>
                <w:rFonts w:cstheme="minorHAnsi"/>
                <w:sz w:val="24"/>
                <w:szCs w:val="24"/>
              </w:rPr>
              <w:br/>
              <w:t>w infrastrukturę drogową</w:t>
            </w:r>
          </w:p>
        </w:tc>
        <w:tc>
          <w:tcPr>
            <w:tcW w:w="9780" w:type="dxa"/>
            <w:tcBorders>
              <w:top w:val="single" w:sz="4" w:space="0" w:color="92D050"/>
              <w:left w:val="single" w:sz="4" w:space="0" w:color="92D050"/>
              <w:bottom w:val="single" w:sz="4" w:space="0" w:color="92D050"/>
              <w:right w:val="single" w:sz="4" w:space="0" w:color="92D050"/>
            </w:tcBorders>
            <w:vAlign w:val="center"/>
          </w:tcPr>
          <w:p w14:paraId="766D09C4" w14:textId="219E135C" w:rsidR="00CA6716" w:rsidRPr="00822661" w:rsidRDefault="00CA6716" w:rsidP="0063670D">
            <w:pPr>
              <w:widowControl w:val="0"/>
              <w:spacing w:after="120"/>
              <w:rPr>
                <w:rFonts w:cstheme="minorHAnsi"/>
                <w:sz w:val="24"/>
                <w:szCs w:val="24"/>
              </w:rPr>
            </w:pPr>
            <w:r w:rsidRPr="00822661">
              <w:rPr>
                <w:rFonts w:cstheme="minorHAnsi"/>
                <w:sz w:val="24"/>
                <w:szCs w:val="24"/>
              </w:rPr>
              <w:t>Wsparciem nie będą objęte inwestycje w infrastrukturę drogową wykorzystywaną do ruchu pojazdów samochodowych niewykorzystywanych w transporcie publicznym, z wyjątkiem narzędzi cyfrowych, obiektów „park&amp;ride” i środków ukierunkowanych na poprawę bezpieczeństwa niechronionych użytkowników dróg, w tym pieszych i rowerzystów.</w:t>
            </w:r>
          </w:p>
          <w:p w14:paraId="501C8F20" w14:textId="050DD5B3" w:rsidR="00CA6716" w:rsidRPr="00822661" w:rsidRDefault="00CA6716" w:rsidP="003B23B5">
            <w:pPr>
              <w:widowControl w:val="0"/>
              <w:spacing w:after="0"/>
              <w:rPr>
                <w:rFonts w:cstheme="minorHAnsi"/>
                <w:sz w:val="24"/>
                <w:szCs w:val="24"/>
              </w:rPr>
            </w:pPr>
            <w:r w:rsidRPr="00822661">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72ABA041" w14:textId="77777777" w:rsidR="00CA6716" w:rsidRPr="00822661" w:rsidRDefault="00CA6716">
            <w:pPr>
              <w:widowControl w:val="0"/>
              <w:spacing w:after="0"/>
              <w:rPr>
                <w:rFonts w:cstheme="minorHAnsi"/>
                <w:sz w:val="24"/>
                <w:szCs w:val="24"/>
              </w:rPr>
            </w:pPr>
            <w:r w:rsidRPr="00822661">
              <w:rPr>
                <w:rFonts w:cstheme="minorHAnsi"/>
                <w:sz w:val="24"/>
                <w:szCs w:val="24"/>
              </w:rPr>
              <w:t>Kryterium bezwzględne (0/1)</w:t>
            </w:r>
          </w:p>
        </w:tc>
      </w:tr>
      <w:tr w:rsidR="00CA6716" w14:paraId="28219949" w14:textId="5D98D098" w:rsidTr="00A34B45">
        <w:trPr>
          <w:trHeight w:val="4269"/>
        </w:trPr>
        <w:tc>
          <w:tcPr>
            <w:tcW w:w="573" w:type="dxa"/>
            <w:tcBorders>
              <w:top w:val="single" w:sz="4" w:space="0" w:color="92D050"/>
              <w:left w:val="single" w:sz="4" w:space="0" w:color="92D050"/>
              <w:bottom w:val="single" w:sz="4" w:space="0" w:color="92D050"/>
              <w:right w:val="single" w:sz="4" w:space="0" w:color="92D050"/>
            </w:tcBorders>
            <w:vAlign w:val="center"/>
          </w:tcPr>
          <w:p w14:paraId="6E832215" w14:textId="374E4DB5" w:rsidR="00CA6716" w:rsidRPr="00284496" w:rsidRDefault="00835894">
            <w:pPr>
              <w:widowControl w:val="0"/>
              <w:spacing w:after="0"/>
              <w:rPr>
                <w:rFonts w:cstheme="minorHAnsi"/>
                <w:sz w:val="24"/>
                <w:szCs w:val="24"/>
                <w:highlight w:val="yellow"/>
              </w:rPr>
            </w:pPr>
            <w:r>
              <w:rPr>
                <w:rFonts w:cstheme="minorHAnsi"/>
                <w:sz w:val="24"/>
                <w:szCs w:val="24"/>
              </w:rPr>
              <w:lastRenderedPageBreak/>
              <w:t>6</w:t>
            </w:r>
            <w:r w:rsidR="00CA6716" w:rsidRPr="00284496">
              <w:rPr>
                <w:rFonts w:cstheme="minorHAnsi"/>
                <w:sz w:val="24"/>
                <w:szCs w:val="24"/>
              </w:rPr>
              <w:t>.</w:t>
            </w:r>
          </w:p>
        </w:tc>
        <w:tc>
          <w:tcPr>
            <w:tcW w:w="2688" w:type="dxa"/>
            <w:tcBorders>
              <w:top w:val="single" w:sz="4" w:space="0" w:color="92D050"/>
              <w:left w:val="single" w:sz="4" w:space="0" w:color="92D050"/>
              <w:bottom w:val="single" w:sz="4" w:space="0" w:color="92D050"/>
              <w:right w:val="single" w:sz="4" w:space="0" w:color="92D050"/>
            </w:tcBorders>
            <w:vAlign w:val="center"/>
          </w:tcPr>
          <w:p w14:paraId="37BF82C1" w14:textId="77777777" w:rsidR="00CA6716" w:rsidRPr="00822661" w:rsidRDefault="00CA6716">
            <w:pPr>
              <w:widowControl w:val="0"/>
              <w:spacing w:after="0"/>
              <w:rPr>
                <w:sz w:val="24"/>
                <w:szCs w:val="24"/>
              </w:rPr>
            </w:pPr>
            <w:r w:rsidRPr="00822661">
              <w:rPr>
                <w:sz w:val="24"/>
                <w:szCs w:val="24"/>
              </w:rPr>
              <w:t xml:space="preserve">Infrastruktura ładowania </w:t>
            </w:r>
            <w:r w:rsidRPr="00822661">
              <w:rPr>
                <w:sz w:val="24"/>
                <w:szCs w:val="24"/>
              </w:rPr>
              <w:br/>
              <w:t>i tankowania pojazdów indywidualnych</w:t>
            </w:r>
          </w:p>
          <w:p w14:paraId="4907FB28" w14:textId="77777777" w:rsidR="00CA6716" w:rsidRPr="00822661" w:rsidRDefault="00CA6716">
            <w:pPr>
              <w:widowControl w:val="0"/>
              <w:spacing w:after="0"/>
              <w:rPr>
                <w:sz w:val="24"/>
                <w:szCs w:val="24"/>
              </w:rPr>
            </w:pPr>
            <w:r w:rsidRPr="00822661">
              <w:rPr>
                <w:sz w:val="24"/>
                <w:szCs w:val="24"/>
              </w:rPr>
              <w:t>(jeśli dotyczy)</w:t>
            </w:r>
          </w:p>
        </w:tc>
        <w:tc>
          <w:tcPr>
            <w:tcW w:w="9780" w:type="dxa"/>
            <w:tcBorders>
              <w:top w:val="single" w:sz="4" w:space="0" w:color="92D050"/>
              <w:left w:val="single" w:sz="4" w:space="0" w:color="92D050"/>
              <w:bottom w:val="single" w:sz="4" w:space="0" w:color="92D050"/>
              <w:right w:val="single" w:sz="4" w:space="0" w:color="92D050"/>
            </w:tcBorders>
            <w:vAlign w:val="center"/>
          </w:tcPr>
          <w:p w14:paraId="63F381FD" w14:textId="7B4C7F08" w:rsidR="00CA6716" w:rsidRPr="00822661" w:rsidRDefault="00CA6716" w:rsidP="34B40B9C">
            <w:pPr>
              <w:widowControl w:val="0"/>
              <w:spacing w:after="120"/>
              <w:rPr>
                <w:sz w:val="24"/>
                <w:szCs w:val="24"/>
              </w:rPr>
            </w:pPr>
            <w:r w:rsidRPr="00822661">
              <w:rPr>
                <w:sz w:val="24"/>
                <w:szCs w:val="24"/>
              </w:rPr>
              <w:t>Infrastruktura ładowania i tankowania pojazdów indywidualnych</w:t>
            </w:r>
            <w:r>
              <w:rPr>
                <w:sz w:val="24"/>
                <w:szCs w:val="24"/>
              </w:rPr>
              <w:t>:</w:t>
            </w:r>
            <w:r w:rsidRPr="00822661">
              <w:rPr>
                <w:sz w:val="24"/>
                <w:szCs w:val="24"/>
              </w:rPr>
              <w:t xml:space="preserve"> </w:t>
            </w:r>
          </w:p>
          <w:p w14:paraId="523B0D97" w14:textId="485965D8" w:rsidR="00CA6716" w:rsidRPr="00822661" w:rsidRDefault="00CA6716" w:rsidP="00203740">
            <w:pPr>
              <w:pStyle w:val="Akapitzlist"/>
              <w:widowControl w:val="0"/>
              <w:numPr>
                <w:ilvl w:val="0"/>
                <w:numId w:val="19"/>
              </w:numPr>
              <w:spacing w:after="0"/>
              <w:rPr>
                <w:sz w:val="24"/>
                <w:szCs w:val="24"/>
              </w:rPr>
            </w:pPr>
            <w:r w:rsidRPr="00822661">
              <w:rPr>
                <w:sz w:val="24"/>
                <w:szCs w:val="24"/>
              </w:rPr>
              <w:t>nie obejmuje możliwości tankowania gazem</w:t>
            </w:r>
            <w:r>
              <w:rPr>
                <w:sz w:val="24"/>
                <w:szCs w:val="24"/>
              </w:rPr>
              <w:t>;</w:t>
            </w:r>
          </w:p>
          <w:p w14:paraId="234D26DA" w14:textId="7AD7CAF9" w:rsidR="00CA6716" w:rsidRPr="00DC219A" w:rsidRDefault="00CA6716" w:rsidP="00203740">
            <w:pPr>
              <w:pStyle w:val="Akapitzlist"/>
              <w:widowControl w:val="0"/>
              <w:numPr>
                <w:ilvl w:val="0"/>
                <w:numId w:val="4"/>
              </w:numPr>
              <w:spacing w:after="0"/>
              <w:rPr>
                <w:rFonts w:ascii="Calibri" w:eastAsia="Calibri" w:hAnsi="Calibri" w:cs="Calibri"/>
                <w:sz w:val="24"/>
                <w:szCs w:val="24"/>
                <w:lang w:val="pl"/>
              </w:rPr>
            </w:pPr>
            <w:r w:rsidRPr="00DC219A">
              <w:rPr>
                <w:rFonts w:ascii="Calibri" w:eastAsia="Calibri" w:hAnsi="Calibri" w:cs="Calibri"/>
                <w:sz w:val="24"/>
                <w:szCs w:val="24"/>
                <w:lang w:val="pl"/>
              </w:rPr>
              <w:t>spełnia wymogi Dyrektywy 2014/94/UE</w:t>
            </w:r>
            <w:r>
              <w:rPr>
                <w:rFonts w:ascii="Calibri" w:eastAsia="Calibri" w:hAnsi="Calibri" w:cs="Calibri"/>
                <w:sz w:val="24"/>
                <w:szCs w:val="24"/>
                <w:lang w:val="pl"/>
              </w:rPr>
              <w:t>;</w:t>
            </w:r>
            <w:r w:rsidRPr="00DC219A">
              <w:rPr>
                <w:rFonts w:ascii="Calibri" w:eastAsia="Calibri" w:hAnsi="Calibri" w:cs="Calibri"/>
                <w:sz w:val="24"/>
                <w:szCs w:val="24"/>
                <w:lang w:val="pl"/>
              </w:rPr>
              <w:t xml:space="preserve"> </w:t>
            </w:r>
          </w:p>
          <w:p w14:paraId="0AA3E16B" w14:textId="5C858B9E" w:rsidR="00CA6716" w:rsidRPr="00DC219A" w:rsidRDefault="00CA6716" w:rsidP="00203740">
            <w:pPr>
              <w:pStyle w:val="Akapitzlist"/>
              <w:widowControl w:val="0"/>
              <w:numPr>
                <w:ilvl w:val="0"/>
                <w:numId w:val="4"/>
              </w:numPr>
              <w:spacing w:after="0"/>
              <w:rPr>
                <w:rFonts w:ascii="Calibri" w:eastAsia="Calibri" w:hAnsi="Calibri" w:cs="Calibri"/>
                <w:sz w:val="24"/>
                <w:szCs w:val="24"/>
                <w:lang w:val="pl"/>
              </w:rPr>
            </w:pPr>
            <w:r w:rsidRPr="00DC219A">
              <w:rPr>
                <w:rFonts w:ascii="Calibri" w:eastAsia="Calibri" w:hAnsi="Calibri" w:cs="Calibri"/>
                <w:sz w:val="24"/>
                <w:szCs w:val="24"/>
                <w:lang w:val="pl"/>
              </w:rPr>
              <w:t>brak jest możliwości finansowania inwestycji ze źródeł prywatnych lub z instrumentów zwrotnych</w:t>
            </w:r>
            <w:r>
              <w:rPr>
                <w:rFonts w:ascii="Calibri" w:eastAsia="Calibri" w:hAnsi="Calibri" w:cs="Calibri"/>
                <w:sz w:val="24"/>
                <w:szCs w:val="24"/>
                <w:lang w:val="pl"/>
              </w:rPr>
              <w:t>;</w:t>
            </w:r>
          </w:p>
          <w:p w14:paraId="3CA7ED1E" w14:textId="56FEA308" w:rsidR="00CA6716" w:rsidRPr="00DC219A" w:rsidRDefault="00CA6716" w:rsidP="00203740">
            <w:pPr>
              <w:pStyle w:val="Akapitzlist"/>
              <w:widowControl w:val="0"/>
              <w:numPr>
                <w:ilvl w:val="0"/>
                <w:numId w:val="4"/>
              </w:numPr>
              <w:spacing w:after="0"/>
              <w:rPr>
                <w:rFonts w:ascii="Calibri" w:eastAsia="Calibri" w:hAnsi="Calibri" w:cs="Calibri"/>
                <w:sz w:val="24"/>
                <w:szCs w:val="24"/>
                <w:lang w:val="pl"/>
              </w:rPr>
            </w:pPr>
            <w:r w:rsidRPr="00DC219A">
              <w:rPr>
                <w:rFonts w:ascii="Calibri" w:eastAsia="Calibri" w:hAnsi="Calibri" w:cs="Calibri"/>
                <w:sz w:val="24"/>
                <w:szCs w:val="24"/>
                <w:lang w:val="pl"/>
              </w:rPr>
              <w:t>inwestycja uzasadniona jest odpowiednią analizą popytu i potrzeb;</w:t>
            </w:r>
          </w:p>
          <w:p w14:paraId="6E69B95F" w14:textId="60CACBE1" w:rsidR="00CA6716" w:rsidRPr="00DC219A" w:rsidRDefault="00CA6716" w:rsidP="00604ADE">
            <w:pPr>
              <w:pStyle w:val="Akapitzlist"/>
              <w:widowControl w:val="0"/>
              <w:numPr>
                <w:ilvl w:val="0"/>
                <w:numId w:val="4"/>
              </w:numPr>
              <w:spacing w:after="120"/>
              <w:ind w:left="714" w:hanging="357"/>
              <w:contextualSpacing w:val="0"/>
              <w:rPr>
                <w:rFonts w:ascii="Calibri" w:eastAsia="Calibri" w:hAnsi="Calibri" w:cs="Calibri"/>
                <w:sz w:val="24"/>
                <w:szCs w:val="24"/>
              </w:rPr>
            </w:pPr>
            <w:r w:rsidRPr="00DC219A">
              <w:rPr>
                <w:rFonts w:ascii="Calibri" w:eastAsia="Calibri" w:hAnsi="Calibri" w:cs="Calibri"/>
                <w:sz w:val="24"/>
                <w:szCs w:val="24"/>
                <w:lang w:val="pl"/>
              </w:rPr>
              <w:t>analiza kosztów-korzyści (CBA) projektu wykazuje pozytywne efekty ekonomiczne inwestycji</w:t>
            </w:r>
            <w:r>
              <w:rPr>
                <w:rFonts w:ascii="Calibri" w:eastAsia="Calibri" w:hAnsi="Calibri" w:cs="Calibri"/>
                <w:sz w:val="24"/>
                <w:szCs w:val="24"/>
                <w:lang w:val="pl"/>
              </w:rPr>
              <w:t>.</w:t>
            </w:r>
          </w:p>
          <w:p w14:paraId="3E852E73" w14:textId="7ECBF5E3" w:rsidR="00CA6716" w:rsidRPr="00822661" w:rsidRDefault="00CA6716" w:rsidP="003B23B5">
            <w:pPr>
              <w:widowControl w:val="0"/>
              <w:spacing w:after="0"/>
              <w:rPr>
                <w:sz w:val="24"/>
                <w:szCs w:val="24"/>
              </w:rPr>
            </w:pPr>
            <w:r w:rsidRPr="00822661">
              <w:rPr>
                <w:rFonts w:cstheme="minorBid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1653CE64" w14:textId="77777777" w:rsidR="00CA6716" w:rsidRPr="00822661" w:rsidRDefault="00CA6716">
            <w:pPr>
              <w:widowControl w:val="0"/>
              <w:spacing w:after="0"/>
              <w:rPr>
                <w:rFonts w:cstheme="minorHAnsi"/>
                <w:sz w:val="24"/>
                <w:szCs w:val="24"/>
              </w:rPr>
            </w:pPr>
            <w:r w:rsidRPr="00822661">
              <w:rPr>
                <w:rFonts w:cstheme="minorHAnsi"/>
                <w:sz w:val="24"/>
                <w:szCs w:val="24"/>
              </w:rPr>
              <w:t>Kryterium bezwzględne (0/1)</w:t>
            </w:r>
          </w:p>
        </w:tc>
      </w:tr>
      <w:tr w:rsidR="00CA6716" w14:paraId="00E9A187" w14:textId="41D342B4" w:rsidTr="00CA6716">
        <w:trPr>
          <w:trHeight w:val="2233"/>
        </w:trPr>
        <w:tc>
          <w:tcPr>
            <w:tcW w:w="573" w:type="dxa"/>
            <w:tcBorders>
              <w:top w:val="single" w:sz="4" w:space="0" w:color="92D050"/>
              <w:left w:val="single" w:sz="4" w:space="0" w:color="92D050"/>
              <w:bottom w:val="single" w:sz="4" w:space="0" w:color="92D050"/>
              <w:right w:val="single" w:sz="4" w:space="0" w:color="92D050"/>
            </w:tcBorders>
            <w:vAlign w:val="center"/>
          </w:tcPr>
          <w:p w14:paraId="2C025FE2" w14:textId="144BF5E8" w:rsidR="00CA6716" w:rsidRPr="00284496" w:rsidRDefault="00835894">
            <w:pPr>
              <w:widowControl w:val="0"/>
              <w:spacing w:after="0"/>
              <w:rPr>
                <w:rFonts w:cstheme="minorHAnsi"/>
                <w:sz w:val="24"/>
                <w:szCs w:val="24"/>
              </w:rPr>
            </w:pPr>
            <w:r>
              <w:rPr>
                <w:rFonts w:cstheme="minorHAnsi"/>
                <w:sz w:val="24"/>
                <w:szCs w:val="24"/>
              </w:rPr>
              <w:t>7</w:t>
            </w:r>
            <w:r w:rsidR="00CA6716" w:rsidRPr="00284496">
              <w:rPr>
                <w:rFonts w:cstheme="minorHAnsi"/>
                <w:sz w:val="24"/>
                <w:szCs w:val="24"/>
              </w:rPr>
              <w:t>.</w:t>
            </w:r>
          </w:p>
        </w:tc>
        <w:tc>
          <w:tcPr>
            <w:tcW w:w="2688" w:type="dxa"/>
            <w:tcBorders>
              <w:top w:val="single" w:sz="4" w:space="0" w:color="92D050"/>
              <w:left w:val="single" w:sz="4" w:space="0" w:color="92D050"/>
              <w:bottom w:val="single" w:sz="4" w:space="0" w:color="92D050"/>
              <w:right w:val="single" w:sz="4" w:space="0" w:color="92D050"/>
            </w:tcBorders>
            <w:vAlign w:val="center"/>
          </w:tcPr>
          <w:p w14:paraId="3C7C2935" w14:textId="77777777" w:rsidR="00CA6716" w:rsidRDefault="00CA6716">
            <w:pPr>
              <w:widowControl w:val="0"/>
              <w:spacing w:after="0"/>
              <w:rPr>
                <w:sz w:val="24"/>
                <w:szCs w:val="24"/>
              </w:rPr>
            </w:pPr>
            <w:r>
              <w:rPr>
                <w:sz w:val="24"/>
                <w:szCs w:val="24"/>
              </w:rPr>
              <w:t xml:space="preserve">Infrastruktura ładowania </w:t>
            </w:r>
            <w:r>
              <w:rPr>
                <w:sz w:val="24"/>
                <w:szCs w:val="24"/>
              </w:rPr>
              <w:br/>
              <w:t xml:space="preserve">i tankowania taboru </w:t>
            </w:r>
          </w:p>
          <w:p w14:paraId="72253D30" w14:textId="0245A682" w:rsidR="00CA6716" w:rsidRDefault="00CA6716">
            <w:pPr>
              <w:widowControl w:val="0"/>
              <w:spacing w:after="0"/>
              <w:rPr>
                <w:sz w:val="24"/>
                <w:szCs w:val="24"/>
              </w:rPr>
            </w:pPr>
            <w:r>
              <w:rPr>
                <w:sz w:val="24"/>
                <w:szCs w:val="24"/>
              </w:rPr>
              <w:t>(jeśli dotyczy)</w:t>
            </w:r>
          </w:p>
        </w:tc>
        <w:tc>
          <w:tcPr>
            <w:tcW w:w="9780" w:type="dxa"/>
            <w:tcBorders>
              <w:top w:val="single" w:sz="4" w:space="0" w:color="92D050"/>
              <w:left w:val="single" w:sz="4" w:space="0" w:color="92D050"/>
              <w:bottom w:val="single" w:sz="4" w:space="0" w:color="92D050"/>
              <w:right w:val="single" w:sz="4" w:space="0" w:color="92D050"/>
            </w:tcBorders>
            <w:vAlign w:val="center"/>
          </w:tcPr>
          <w:p w14:paraId="19A93D58" w14:textId="77777777" w:rsidR="00CA6716" w:rsidRDefault="00CA6716" w:rsidP="0063670D">
            <w:pPr>
              <w:widowControl w:val="0"/>
              <w:spacing w:after="120"/>
              <w:rPr>
                <w:sz w:val="24"/>
                <w:szCs w:val="24"/>
              </w:rPr>
            </w:pPr>
            <w:r>
              <w:rPr>
                <w:sz w:val="24"/>
                <w:szCs w:val="24"/>
              </w:rPr>
              <w:t>Infrastruktura ładowania i tankowania taboru nie obejmuje możliwości tankowania gazem.</w:t>
            </w:r>
          </w:p>
          <w:p w14:paraId="0CA329D2" w14:textId="126C004C" w:rsidR="00CA6716" w:rsidRDefault="00CA6716" w:rsidP="003B23B5">
            <w:pPr>
              <w:widowControl w:val="0"/>
              <w:spacing w:after="0"/>
              <w:rPr>
                <w:sz w:val="24"/>
                <w:szCs w:val="24"/>
              </w:rPr>
            </w:pPr>
            <w:r>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6A881063" w14:textId="77777777" w:rsidR="00CA6716" w:rsidRDefault="00CA6716">
            <w:pPr>
              <w:widowControl w:val="0"/>
              <w:spacing w:after="0"/>
              <w:rPr>
                <w:rFonts w:cstheme="minorHAnsi"/>
                <w:sz w:val="24"/>
                <w:szCs w:val="24"/>
              </w:rPr>
            </w:pPr>
            <w:r>
              <w:rPr>
                <w:rFonts w:cstheme="minorHAnsi"/>
                <w:sz w:val="24"/>
                <w:szCs w:val="24"/>
              </w:rPr>
              <w:t>Kryterium bezwzględne (0/1)</w:t>
            </w:r>
          </w:p>
        </w:tc>
      </w:tr>
      <w:tr w:rsidR="00CA6716" w14:paraId="4B8755E1" w14:textId="47B453E1" w:rsidTr="00CA6716">
        <w:tc>
          <w:tcPr>
            <w:tcW w:w="573" w:type="dxa"/>
            <w:tcBorders>
              <w:top w:val="single" w:sz="4" w:space="0" w:color="92D050"/>
              <w:left w:val="single" w:sz="4" w:space="0" w:color="92D050"/>
              <w:bottom w:val="single" w:sz="4" w:space="0" w:color="92D050"/>
              <w:right w:val="single" w:sz="4" w:space="0" w:color="92D050"/>
            </w:tcBorders>
            <w:vAlign w:val="center"/>
          </w:tcPr>
          <w:p w14:paraId="1DE65950" w14:textId="5451AAC3" w:rsidR="00CA6716" w:rsidRPr="00284496" w:rsidRDefault="00835894" w:rsidP="00DD31A4">
            <w:pPr>
              <w:widowControl w:val="0"/>
              <w:spacing w:after="0"/>
              <w:rPr>
                <w:rFonts w:cstheme="minorHAnsi"/>
                <w:sz w:val="24"/>
                <w:szCs w:val="24"/>
              </w:rPr>
            </w:pPr>
            <w:r>
              <w:rPr>
                <w:rFonts w:cstheme="minorHAnsi"/>
                <w:sz w:val="24"/>
                <w:szCs w:val="24"/>
              </w:rPr>
              <w:t>8</w:t>
            </w:r>
            <w:r w:rsidR="00CA6716" w:rsidRPr="00284496">
              <w:rPr>
                <w:rFonts w:cstheme="minorHAnsi"/>
                <w:sz w:val="24"/>
                <w:szCs w:val="24"/>
              </w:rPr>
              <w:t>.</w:t>
            </w:r>
          </w:p>
        </w:tc>
        <w:tc>
          <w:tcPr>
            <w:tcW w:w="2688" w:type="dxa"/>
            <w:tcBorders>
              <w:top w:val="single" w:sz="4" w:space="0" w:color="92D050"/>
              <w:left w:val="single" w:sz="4" w:space="0" w:color="92D050"/>
              <w:bottom w:val="single" w:sz="4" w:space="0" w:color="92D050"/>
              <w:right w:val="single" w:sz="4" w:space="0" w:color="92D050"/>
            </w:tcBorders>
            <w:vAlign w:val="center"/>
          </w:tcPr>
          <w:p w14:paraId="28FD1E6B" w14:textId="77777777" w:rsidR="00CA6716" w:rsidRDefault="00CA6716" w:rsidP="00DD31A4">
            <w:pPr>
              <w:widowControl w:val="0"/>
              <w:spacing w:after="0"/>
              <w:rPr>
                <w:sz w:val="24"/>
                <w:szCs w:val="24"/>
              </w:rPr>
            </w:pPr>
            <w:r>
              <w:rPr>
                <w:sz w:val="24"/>
                <w:szCs w:val="24"/>
              </w:rPr>
              <w:t>Kampanie informacyjne</w:t>
            </w:r>
          </w:p>
          <w:p w14:paraId="1184B160" w14:textId="77777777" w:rsidR="00CA6716" w:rsidRDefault="00CA6716" w:rsidP="00DD31A4">
            <w:pPr>
              <w:widowControl w:val="0"/>
              <w:spacing w:after="0"/>
              <w:rPr>
                <w:sz w:val="24"/>
                <w:szCs w:val="24"/>
              </w:rPr>
            </w:pPr>
            <w:r>
              <w:rPr>
                <w:sz w:val="24"/>
                <w:szCs w:val="24"/>
              </w:rPr>
              <w:t>(jeśli dotyczy)</w:t>
            </w:r>
          </w:p>
        </w:tc>
        <w:tc>
          <w:tcPr>
            <w:tcW w:w="9780" w:type="dxa"/>
            <w:tcBorders>
              <w:top w:val="single" w:sz="4" w:space="0" w:color="92D050"/>
              <w:left w:val="single" w:sz="4" w:space="0" w:color="92D050"/>
              <w:bottom w:val="single" w:sz="4" w:space="0" w:color="92D050"/>
              <w:right w:val="single" w:sz="4" w:space="0" w:color="92D050"/>
            </w:tcBorders>
            <w:vAlign w:val="center"/>
          </w:tcPr>
          <w:p w14:paraId="2A955813" w14:textId="1E56C2A1" w:rsidR="00CA6716" w:rsidRDefault="00CA6716" w:rsidP="0063670D">
            <w:pPr>
              <w:widowControl w:val="0"/>
              <w:spacing w:after="120"/>
              <w:rPr>
                <w:rFonts w:cstheme="minorHAnsi"/>
                <w:sz w:val="24"/>
                <w:szCs w:val="24"/>
              </w:rPr>
            </w:pPr>
            <w:r>
              <w:rPr>
                <w:rFonts w:cstheme="minorHAnsi"/>
                <w:sz w:val="24"/>
                <w:szCs w:val="24"/>
              </w:rPr>
              <w:t xml:space="preserve">Kampanie informacyjne dla uczniów i osób dorosłych związane z szeroko pojętą zrównoważoną mobilnością, mające na celu zmianę zachowań komunikacyjnych mieszkańców na bardziej </w:t>
            </w:r>
            <w:r>
              <w:rPr>
                <w:rFonts w:cstheme="minorHAnsi"/>
                <w:sz w:val="24"/>
                <w:szCs w:val="24"/>
              </w:rPr>
              <w:lastRenderedPageBreak/>
              <w:t>ekologiczne.</w:t>
            </w:r>
          </w:p>
          <w:p w14:paraId="3E60A8D5" w14:textId="5C610E3C" w:rsidR="00CA6716" w:rsidRDefault="00CA6716" w:rsidP="003B23B5">
            <w:pPr>
              <w:widowControl w:val="0"/>
              <w:spacing w:after="0"/>
              <w:rPr>
                <w:sz w:val="24"/>
                <w:szCs w:val="24"/>
              </w:rPr>
            </w:pPr>
            <w:r>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1D39BFFF" w14:textId="77777777" w:rsidR="00CA6716" w:rsidRDefault="00CA6716" w:rsidP="00DD31A4">
            <w:pPr>
              <w:widowControl w:val="0"/>
              <w:spacing w:after="0"/>
              <w:rPr>
                <w:rFonts w:cstheme="minorHAnsi"/>
                <w:sz w:val="24"/>
                <w:szCs w:val="24"/>
              </w:rPr>
            </w:pPr>
            <w:r>
              <w:rPr>
                <w:rFonts w:cstheme="minorHAnsi"/>
                <w:sz w:val="24"/>
                <w:szCs w:val="24"/>
              </w:rPr>
              <w:lastRenderedPageBreak/>
              <w:t>Kryterium bezwzględne (0/1)</w:t>
            </w:r>
          </w:p>
        </w:tc>
      </w:tr>
      <w:tr w:rsidR="00CA6716" w14:paraId="673DF226" w14:textId="406CCC0F" w:rsidTr="00CA6716">
        <w:trPr>
          <w:trHeight w:val="192"/>
        </w:trPr>
        <w:tc>
          <w:tcPr>
            <w:tcW w:w="573" w:type="dxa"/>
            <w:tcBorders>
              <w:top w:val="single" w:sz="4" w:space="0" w:color="92D050"/>
              <w:left w:val="single" w:sz="4" w:space="0" w:color="92D050"/>
              <w:bottom w:val="single" w:sz="4" w:space="0" w:color="92D050"/>
              <w:right w:val="single" w:sz="4" w:space="0" w:color="92D050"/>
            </w:tcBorders>
            <w:vAlign w:val="center"/>
          </w:tcPr>
          <w:p w14:paraId="21F67414" w14:textId="0D76C07B" w:rsidR="00CA6716" w:rsidRPr="00284496" w:rsidRDefault="00835894" w:rsidP="00DD31A4">
            <w:pPr>
              <w:widowControl w:val="0"/>
              <w:spacing w:after="0"/>
              <w:rPr>
                <w:rFonts w:cstheme="minorHAnsi"/>
                <w:sz w:val="24"/>
                <w:szCs w:val="24"/>
              </w:rPr>
            </w:pPr>
            <w:bookmarkStart w:id="0" w:name="_Hlk135333629"/>
            <w:r>
              <w:rPr>
                <w:rFonts w:cstheme="minorHAnsi"/>
                <w:sz w:val="24"/>
                <w:szCs w:val="24"/>
              </w:rPr>
              <w:t>9</w:t>
            </w:r>
            <w:r w:rsidR="00CA6716" w:rsidRPr="00284496">
              <w:rPr>
                <w:rFonts w:cstheme="minorHAnsi"/>
                <w:sz w:val="24"/>
                <w:szCs w:val="24"/>
              </w:rPr>
              <w:t>.</w:t>
            </w:r>
          </w:p>
        </w:tc>
        <w:tc>
          <w:tcPr>
            <w:tcW w:w="2688" w:type="dxa"/>
            <w:tcBorders>
              <w:top w:val="single" w:sz="4" w:space="0" w:color="92D050"/>
              <w:left w:val="single" w:sz="4" w:space="0" w:color="92D050"/>
              <w:bottom w:val="single" w:sz="4" w:space="0" w:color="92D050"/>
              <w:right w:val="single" w:sz="4" w:space="0" w:color="92D050"/>
            </w:tcBorders>
            <w:vAlign w:val="center"/>
          </w:tcPr>
          <w:p w14:paraId="06CFE6DB" w14:textId="77777777" w:rsidR="00CA6716" w:rsidRDefault="00CA6716" w:rsidP="00DD31A4">
            <w:pPr>
              <w:widowControl w:val="0"/>
              <w:spacing w:after="0"/>
              <w:rPr>
                <w:sz w:val="24"/>
                <w:szCs w:val="24"/>
              </w:rPr>
            </w:pPr>
            <w:r>
              <w:rPr>
                <w:sz w:val="24"/>
                <w:szCs w:val="24"/>
              </w:rPr>
              <w:t xml:space="preserve">Wykorzystanie zielonej </w:t>
            </w:r>
            <w:r>
              <w:rPr>
                <w:sz w:val="24"/>
                <w:szCs w:val="24"/>
              </w:rPr>
              <w:br/>
              <w:t>i niebieskiej infrastruktury</w:t>
            </w:r>
          </w:p>
        </w:tc>
        <w:tc>
          <w:tcPr>
            <w:tcW w:w="9780" w:type="dxa"/>
            <w:tcBorders>
              <w:top w:val="single" w:sz="4" w:space="0" w:color="92D050"/>
              <w:left w:val="single" w:sz="4" w:space="0" w:color="92D050"/>
              <w:bottom w:val="single" w:sz="4" w:space="0" w:color="92D050"/>
              <w:right w:val="single" w:sz="4" w:space="0" w:color="92D050"/>
            </w:tcBorders>
            <w:vAlign w:val="center"/>
          </w:tcPr>
          <w:p w14:paraId="70D80CE3" w14:textId="3AAABBD6" w:rsidR="00CA6716" w:rsidRDefault="00CA6716" w:rsidP="0063670D">
            <w:pPr>
              <w:widowControl w:val="0"/>
              <w:spacing w:after="120"/>
              <w:rPr>
                <w:sz w:val="24"/>
                <w:szCs w:val="24"/>
              </w:rPr>
            </w:pPr>
            <w:r>
              <w:rPr>
                <w:sz w:val="24"/>
                <w:szCs w:val="24"/>
              </w:rPr>
              <w:t>Tam gdzie jest to technicznie możliwe, realizowane projekty w zakresie infrastruktury drogowej będą obejmowały zapewnienie retencji i podczyszczania wód opadowych przez wykorzystanie zielonej i niebieskiej infrastruktury oraz rozwiązań opartych na przyrodzie.</w:t>
            </w:r>
          </w:p>
          <w:p w14:paraId="2B735C8C" w14:textId="545417AF" w:rsidR="00CA6716" w:rsidRDefault="00CA6716" w:rsidP="003B23B5">
            <w:pPr>
              <w:widowControl w:val="0"/>
              <w:spacing w:after="0"/>
              <w:rPr>
                <w:sz w:val="24"/>
                <w:szCs w:val="24"/>
              </w:rPr>
            </w:pPr>
            <w:r>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03B238E9" w14:textId="77777777" w:rsidR="00CA6716" w:rsidRDefault="00CA6716" w:rsidP="00DD31A4">
            <w:pPr>
              <w:widowControl w:val="0"/>
              <w:spacing w:after="0"/>
              <w:rPr>
                <w:rFonts w:cstheme="minorHAnsi"/>
                <w:sz w:val="24"/>
                <w:szCs w:val="24"/>
              </w:rPr>
            </w:pPr>
            <w:r>
              <w:rPr>
                <w:rFonts w:cstheme="minorHAnsi"/>
                <w:sz w:val="24"/>
                <w:szCs w:val="24"/>
              </w:rPr>
              <w:t>Kryterium bezwzględne (0/1)</w:t>
            </w:r>
          </w:p>
        </w:tc>
      </w:tr>
      <w:tr w:rsidR="00CA6716" w14:paraId="6603148F" w14:textId="46ABC813" w:rsidTr="00CA6716">
        <w:trPr>
          <w:trHeight w:val="1261"/>
        </w:trPr>
        <w:tc>
          <w:tcPr>
            <w:tcW w:w="573" w:type="dxa"/>
            <w:tcBorders>
              <w:top w:val="single" w:sz="4" w:space="0" w:color="92D050"/>
              <w:left w:val="single" w:sz="4" w:space="0" w:color="92D050"/>
              <w:bottom w:val="single" w:sz="4" w:space="0" w:color="92D050"/>
              <w:right w:val="single" w:sz="4" w:space="0" w:color="92D050"/>
            </w:tcBorders>
            <w:vAlign w:val="center"/>
          </w:tcPr>
          <w:p w14:paraId="78916602" w14:textId="1273B02E" w:rsidR="00CA6716" w:rsidRDefault="00CA6716" w:rsidP="33A1E578">
            <w:pPr>
              <w:rPr>
                <w:rFonts w:cstheme="minorBidi"/>
                <w:sz w:val="24"/>
                <w:szCs w:val="24"/>
              </w:rPr>
            </w:pPr>
            <w:r w:rsidRPr="33A1E578">
              <w:rPr>
                <w:rFonts w:cstheme="minorBidi"/>
                <w:sz w:val="24"/>
                <w:szCs w:val="24"/>
              </w:rPr>
              <w:t>1</w:t>
            </w:r>
            <w:r w:rsidR="00835894">
              <w:rPr>
                <w:rFonts w:cstheme="minorBidi"/>
                <w:sz w:val="24"/>
                <w:szCs w:val="24"/>
              </w:rPr>
              <w:t>0</w:t>
            </w:r>
            <w:r w:rsidRPr="33A1E578">
              <w:rPr>
                <w:rFonts w:cstheme="minorBidi"/>
                <w:sz w:val="24"/>
                <w:szCs w:val="24"/>
              </w:rPr>
              <w:t xml:space="preserve">. </w:t>
            </w:r>
          </w:p>
        </w:tc>
        <w:tc>
          <w:tcPr>
            <w:tcW w:w="2688" w:type="dxa"/>
            <w:tcBorders>
              <w:top w:val="single" w:sz="4" w:space="0" w:color="92D050"/>
              <w:left w:val="single" w:sz="4" w:space="0" w:color="92D050"/>
              <w:bottom w:val="single" w:sz="4" w:space="0" w:color="92D050"/>
              <w:right w:val="single" w:sz="4" w:space="0" w:color="92D050"/>
            </w:tcBorders>
            <w:vAlign w:val="center"/>
          </w:tcPr>
          <w:p w14:paraId="63065131" w14:textId="3BEAA21C" w:rsidR="00CA6716" w:rsidRDefault="00CA6716" w:rsidP="33A1E578">
            <w:pPr>
              <w:rPr>
                <w:sz w:val="24"/>
                <w:szCs w:val="24"/>
              </w:rPr>
            </w:pPr>
            <w:r w:rsidRPr="00252C60">
              <w:rPr>
                <w:sz w:val="24"/>
                <w:szCs w:val="24"/>
              </w:rPr>
              <w:t>Zapewnienie informacji w</w:t>
            </w:r>
            <w:r w:rsidR="00A34B45">
              <w:rPr>
                <w:sz w:val="24"/>
                <w:szCs w:val="24"/>
              </w:rPr>
              <w:t> </w:t>
            </w:r>
            <w:r w:rsidRPr="00252C60">
              <w:rPr>
                <w:sz w:val="24"/>
                <w:szCs w:val="24"/>
              </w:rPr>
              <w:t>językach obcych (jeśli dotyczy)</w:t>
            </w:r>
          </w:p>
        </w:tc>
        <w:tc>
          <w:tcPr>
            <w:tcW w:w="9780" w:type="dxa"/>
            <w:tcBorders>
              <w:top w:val="single" w:sz="4" w:space="0" w:color="92D050"/>
              <w:left w:val="single" w:sz="4" w:space="0" w:color="92D050"/>
              <w:bottom w:val="single" w:sz="4" w:space="0" w:color="92D050"/>
              <w:right w:val="single" w:sz="4" w:space="0" w:color="92D050"/>
            </w:tcBorders>
            <w:vAlign w:val="center"/>
          </w:tcPr>
          <w:p w14:paraId="412A2DAD" w14:textId="0A4A045E" w:rsidR="00CA6716" w:rsidRDefault="00CA6716" w:rsidP="000324C1">
            <w:pPr>
              <w:spacing w:after="120"/>
              <w:rPr>
                <w:sz w:val="24"/>
                <w:szCs w:val="24"/>
              </w:rPr>
            </w:pPr>
            <w:r w:rsidRPr="33A1E578">
              <w:rPr>
                <w:sz w:val="24"/>
                <w:szCs w:val="24"/>
              </w:rPr>
              <w:t>Tam gdzie jest to uzasadnione ze względu na charakter projektu (np. środki transportu publicznego, infrastruktura pasażerska) projekt uwzględnia działania zapewniające powszechnie dostępne, przejrzyste i aktualizowane przez kompetentne instytucje informacje w językach obcych (np. angielski/ukraiński).</w:t>
            </w:r>
          </w:p>
          <w:p w14:paraId="5C0D8C85" w14:textId="391D77A1" w:rsidR="00CA6716" w:rsidRDefault="00CA6716" w:rsidP="003B23B5">
            <w:pPr>
              <w:spacing w:after="0"/>
              <w:rPr>
                <w:sz w:val="24"/>
                <w:szCs w:val="24"/>
              </w:rPr>
            </w:pPr>
            <w:r w:rsidRPr="009E6131">
              <w:rPr>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0B44B5C2" w14:textId="77777777" w:rsidR="00CA6716" w:rsidRDefault="00CA6716" w:rsidP="33A1E578">
            <w:pPr>
              <w:widowControl w:val="0"/>
              <w:spacing w:after="0"/>
              <w:rPr>
                <w:rFonts w:cstheme="minorBidi"/>
                <w:sz w:val="24"/>
                <w:szCs w:val="24"/>
              </w:rPr>
            </w:pPr>
            <w:r w:rsidRPr="33A1E578">
              <w:rPr>
                <w:rFonts w:cstheme="minorBidi"/>
                <w:sz w:val="24"/>
                <w:szCs w:val="24"/>
              </w:rPr>
              <w:t>Kryterium bezwzględne (0/1)</w:t>
            </w:r>
          </w:p>
          <w:p w14:paraId="02CAD8EC" w14:textId="70F51D0D" w:rsidR="00CA6716" w:rsidRDefault="00CA6716" w:rsidP="33A1E578">
            <w:pPr>
              <w:rPr>
                <w:rFonts w:cstheme="minorBidi"/>
                <w:sz w:val="24"/>
                <w:szCs w:val="24"/>
              </w:rPr>
            </w:pPr>
          </w:p>
        </w:tc>
      </w:tr>
      <w:tr w:rsidR="00CA6716" w14:paraId="5A17E928" w14:textId="4DC52631" w:rsidTr="00A34B45">
        <w:trPr>
          <w:trHeight w:val="701"/>
        </w:trPr>
        <w:tc>
          <w:tcPr>
            <w:tcW w:w="573" w:type="dxa"/>
            <w:tcBorders>
              <w:top w:val="single" w:sz="4" w:space="0" w:color="92D050"/>
              <w:left w:val="single" w:sz="4" w:space="0" w:color="92D050"/>
              <w:bottom w:val="single" w:sz="4" w:space="0" w:color="92D050"/>
              <w:right w:val="single" w:sz="4" w:space="0" w:color="92D050"/>
            </w:tcBorders>
            <w:vAlign w:val="center"/>
          </w:tcPr>
          <w:p w14:paraId="116546D4" w14:textId="135B9F03" w:rsidR="00CA6716" w:rsidRPr="33A1E578" w:rsidRDefault="00CA6716" w:rsidP="006C1C9E">
            <w:pPr>
              <w:rPr>
                <w:rFonts w:cstheme="minorBidi"/>
                <w:sz w:val="24"/>
                <w:szCs w:val="24"/>
              </w:rPr>
            </w:pPr>
            <w:r>
              <w:rPr>
                <w:rFonts w:cstheme="minorBidi"/>
                <w:sz w:val="24"/>
                <w:szCs w:val="24"/>
              </w:rPr>
              <w:t>1</w:t>
            </w:r>
            <w:r w:rsidR="00835894">
              <w:rPr>
                <w:rFonts w:cstheme="minorBidi"/>
                <w:sz w:val="24"/>
                <w:szCs w:val="24"/>
              </w:rPr>
              <w:t>1</w:t>
            </w:r>
            <w:r>
              <w:rPr>
                <w:rFonts w:cstheme="minorBidi"/>
                <w:sz w:val="24"/>
                <w:szCs w:val="24"/>
              </w:rPr>
              <w:t>.</w:t>
            </w:r>
          </w:p>
        </w:tc>
        <w:tc>
          <w:tcPr>
            <w:tcW w:w="2688" w:type="dxa"/>
            <w:tcBorders>
              <w:top w:val="single" w:sz="4" w:space="0" w:color="92D050"/>
              <w:left w:val="single" w:sz="4" w:space="0" w:color="92D050"/>
              <w:bottom w:val="single" w:sz="4" w:space="0" w:color="92D050"/>
              <w:right w:val="single" w:sz="4" w:space="0" w:color="92D050"/>
            </w:tcBorders>
            <w:vAlign w:val="center"/>
          </w:tcPr>
          <w:p w14:paraId="755ADC00" w14:textId="2BA01FF9" w:rsidR="00CA6716" w:rsidRPr="33A1E578" w:rsidRDefault="00CA6716" w:rsidP="006C1C9E">
            <w:pPr>
              <w:rPr>
                <w:sz w:val="24"/>
                <w:szCs w:val="24"/>
              </w:rPr>
            </w:pPr>
            <w:r>
              <w:rPr>
                <w:rFonts w:eastAsia="SimSun" w:cstheme="minorHAnsi"/>
                <w:kern w:val="2"/>
                <w:sz w:val="24"/>
                <w:szCs w:val="24"/>
                <w:lang w:eastAsia="hi-IN" w:bidi="hi-IN"/>
              </w:rPr>
              <w:t>Priorytetowy charakter projektu</w:t>
            </w:r>
          </w:p>
        </w:tc>
        <w:tc>
          <w:tcPr>
            <w:tcW w:w="9780" w:type="dxa"/>
            <w:tcBorders>
              <w:top w:val="single" w:sz="4" w:space="0" w:color="92D050"/>
              <w:left w:val="single" w:sz="4" w:space="0" w:color="92D050"/>
              <w:bottom w:val="single" w:sz="4" w:space="0" w:color="92D050"/>
              <w:right w:val="single" w:sz="4" w:space="0" w:color="92D050"/>
            </w:tcBorders>
            <w:vAlign w:val="center"/>
          </w:tcPr>
          <w:p w14:paraId="38F7650E" w14:textId="77777777" w:rsidR="00CA6716" w:rsidRDefault="00CA6716" w:rsidP="006C1C9E">
            <w:pPr>
              <w:autoSpaceDE w:val="0"/>
              <w:autoSpaceDN w:val="0"/>
              <w:adjustRightInd w:val="0"/>
              <w:spacing w:after="0"/>
              <w:rPr>
                <w:rFonts w:cstheme="minorHAnsi"/>
                <w:sz w:val="24"/>
                <w:szCs w:val="24"/>
                <w:lang w:eastAsia="pl-PL"/>
              </w:rPr>
            </w:pPr>
            <w:r>
              <w:rPr>
                <w:rFonts w:cstheme="minorHAnsi"/>
                <w:sz w:val="24"/>
                <w:szCs w:val="24"/>
                <w:lang w:eastAsia="pl-PL"/>
              </w:rPr>
              <w:t>Projekt polega na realizacji zadań publicznych mających strategiczne znaczenie dla społeczno-gospodarczego rozwoju obszaru objętego realizacją ZIT.</w:t>
            </w:r>
          </w:p>
          <w:p w14:paraId="05EC9C83" w14:textId="77777777" w:rsidR="00CA6716" w:rsidRDefault="00CA6716" w:rsidP="006C1C9E">
            <w:pPr>
              <w:autoSpaceDE w:val="0"/>
              <w:autoSpaceDN w:val="0"/>
              <w:adjustRightInd w:val="0"/>
              <w:spacing w:after="0"/>
              <w:rPr>
                <w:rFonts w:cstheme="minorHAnsi"/>
                <w:sz w:val="24"/>
                <w:szCs w:val="24"/>
                <w:lang w:eastAsia="pl-PL"/>
              </w:rPr>
            </w:pPr>
          </w:p>
          <w:p w14:paraId="6F98152B" w14:textId="575F60A7" w:rsidR="00CA6716" w:rsidRDefault="00CA6716" w:rsidP="00604ADE">
            <w:pPr>
              <w:spacing w:after="120"/>
              <w:rPr>
                <w:rFonts w:cstheme="minorHAnsi"/>
                <w:sz w:val="24"/>
                <w:szCs w:val="24"/>
                <w:lang w:eastAsia="pl-PL"/>
              </w:rPr>
            </w:pPr>
            <w:r>
              <w:rPr>
                <w:rFonts w:cstheme="minorHAnsi"/>
                <w:sz w:val="24"/>
                <w:szCs w:val="24"/>
                <w:lang w:eastAsia="pl-PL"/>
              </w:rPr>
              <w:t>Ocenie podlega czy inwestycja została ujęta w przyjętej Strategii ZIT dla obszaru.</w:t>
            </w:r>
          </w:p>
          <w:p w14:paraId="39B6D38D" w14:textId="3A833A46" w:rsidR="00CA6716" w:rsidRPr="33A1E578" w:rsidRDefault="00CA6716" w:rsidP="006C1C9E">
            <w:pPr>
              <w:spacing w:after="0"/>
              <w:rPr>
                <w:sz w:val="24"/>
                <w:szCs w:val="24"/>
              </w:rPr>
            </w:pPr>
            <w:r>
              <w:rPr>
                <w:rFonts w:cstheme="minorHAnsi"/>
                <w:sz w:val="24"/>
                <w:szCs w:val="24"/>
              </w:rPr>
              <w:t>Kryterium weryfikowane na podstawie zapisów wniosku o dofinansowanie i załączników i/lub wyjaśnień udzielonych przez Wnioskodawcę.</w:t>
            </w:r>
          </w:p>
        </w:tc>
        <w:tc>
          <w:tcPr>
            <w:tcW w:w="3119" w:type="dxa"/>
            <w:tcBorders>
              <w:top w:val="single" w:sz="4" w:space="0" w:color="92D050"/>
              <w:left w:val="single" w:sz="4" w:space="0" w:color="92D050"/>
              <w:bottom w:val="single" w:sz="4" w:space="0" w:color="92D050"/>
              <w:right w:val="single" w:sz="4" w:space="0" w:color="92D050"/>
            </w:tcBorders>
            <w:vAlign w:val="center"/>
          </w:tcPr>
          <w:p w14:paraId="35DEA343" w14:textId="7B3F47C7" w:rsidR="00CA6716" w:rsidRPr="33A1E578" w:rsidRDefault="00CA6716" w:rsidP="006C1C9E">
            <w:pPr>
              <w:widowControl w:val="0"/>
              <w:spacing w:after="0"/>
              <w:rPr>
                <w:rFonts w:cstheme="minorBidi"/>
                <w:sz w:val="24"/>
                <w:szCs w:val="24"/>
              </w:rPr>
            </w:pPr>
            <w:r>
              <w:rPr>
                <w:rFonts w:cstheme="minorHAnsi"/>
                <w:sz w:val="24"/>
                <w:szCs w:val="24"/>
              </w:rPr>
              <w:t>Kryterium bezwzględne (0/1)</w:t>
            </w:r>
          </w:p>
        </w:tc>
      </w:tr>
      <w:bookmarkEnd w:id="0"/>
    </w:tbl>
    <w:p w14:paraId="36803B49" w14:textId="77777777" w:rsidR="006C1C9E" w:rsidRDefault="006C1C9E" w:rsidP="00F872BD">
      <w:pPr>
        <w:tabs>
          <w:tab w:val="left" w:pos="5244"/>
        </w:tabs>
      </w:pPr>
    </w:p>
    <w:tbl>
      <w:tblPr>
        <w:tblW w:w="5774" w:type="pct"/>
        <w:tblInd w:w="-1139" w:type="dxa"/>
        <w:tblLayout w:type="fixed"/>
        <w:tblCellMar>
          <w:left w:w="70" w:type="dxa"/>
          <w:right w:w="70" w:type="dxa"/>
        </w:tblCellMar>
        <w:tblLook w:val="00A0" w:firstRow="1" w:lastRow="0" w:firstColumn="1" w:lastColumn="0" w:noHBand="0" w:noVBand="0"/>
      </w:tblPr>
      <w:tblGrid>
        <w:gridCol w:w="16160"/>
      </w:tblGrid>
      <w:tr w:rsidR="009A7048" w14:paraId="46441BBB" w14:textId="77777777" w:rsidTr="008B6D8F">
        <w:trPr>
          <w:trHeight w:val="564"/>
        </w:trPr>
        <w:tc>
          <w:tcPr>
            <w:tcW w:w="16160" w:type="dxa"/>
            <w:tcBorders>
              <w:top w:val="single" w:sz="4" w:space="0" w:color="92D050"/>
              <w:left w:val="single" w:sz="4" w:space="0" w:color="92D050"/>
              <w:bottom w:val="single" w:sz="4" w:space="0" w:color="92D050"/>
              <w:right w:val="single" w:sz="4" w:space="0" w:color="92D050"/>
            </w:tcBorders>
            <w:shd w:val="clear" w:color="auto" w:fill="CCFF66"/>
            <w:vAlign w:val="center"/>
          </w:tcPr>
          <w:p w14:paraId="057F7CB2" w14:textId="77777777" w:rsidR="009A7048" w:rsidRDefault="009A7048" w:rsidP="00D3558E">
            <w:pPr>
              <w:widowControl w:val="0"/>
              <w:spacing w:after="120" w:line="240" w:lineRule="auto"/>
              <w:rPr>
                <w:rFonts w:cs="Calibri"/>
                <w:b/>
                <w:color w:val="000099"/>
                <w:sz w:val="24"/>
                <w:szCs w:val="24"/>
                <w:lang w:eastAsia="pl-PL"/>
              </w:rPr>
            </w:pPr>
            <w:r w:rsidRPr="00C02607">
              <w:rPr>
                <w:rFonts w:cs="Calibri"/>
                <w:b/>
                <w:color w:val="000099"/>
                <w:sz w:val="24"/>
                <w:szCs w:val="24"/>
                <w:lang w:eastAsia="pl-PL"/>
              </w:rPr>
              <w:t>Typ przedsięwzięcia:</w:t>
            </w:r>
          </w:p>
          <w:p w14:paraId="06DF797B" w14:textId="4F09D6BF" w:rsidR="009A7048" w:rsidRDefault="009A7048" w:rsidP="00D3558E">
            <w:pPr>
              <w:widowControl w:val="0"/>
              <w:spacing w:after="120" w:line="240" w:lineRule="auto"/>
              <w:rPr>
                <w:rFonts w:cs="Calibri"/>
                <w:b/>
                <w:color w:val="000099"/>
                <w:sz w:val="24"/>
                <w:szCs w:val="24"/>
                <w:lang w:eastAsia="pl-PL"/>
              </w:rPr>
            </w:pPr>
            <w:r w:rsidRPr="00C02607">
              <w:rPr>
                <w:rFonts w:cs="Calibri"/>
                <w:b/>
                <w:bCs/>
                <w:color w:val="000099"/>
                <w:sz w:val="24"/>
                <w:szCs w:val="24"/>
                <w:lang w:eastAsia="pl-PL"/>
              </w:rPr>
              <w:t>8. Realizacja działań związanych z przygotowaniem i aktualizacją planów zrównoważonej mobilności miejskiej (SUMP)</w:t>
            </w:r>
            <w:r w:rsidR="007D4D8B">
              <w:rPr>
                <w:rFonts w:cs="Calibri"/>
                <w:b/>
                <w:bCs/>
                <w:color w:val="000099"/>
                <w:sz w:val="24"/>
                <w:szCs w:val="24"/>
                <w:lang w:eastAsia="pl-PL"/>
              </w:rPr>
              <w:t xml:space="preserve"> – jako samodzielny projekt</w:t>
            </w:r>
            <w:r w:rsidRPr="00C02607">
              <w:rPr>
                <w:rFonts w:cs="Calibri"/>
                <w:b/>
                <w:bCs/>
                <w:color w:val="000099"/>
                <w:sz w:val="24"/>
                <w:szCs w:val="24"/>
                <w:lang w:eastAsia="pl-PL"/>
              </w:rPr>
              <w:t>.</w:t>
            </w:r>
          </w:p>
        </w:tc>
      </w:tr>
    </w:tbl>
    <w:p w14:paraId="500B4036" w14:textId="21C23C66" w:rsidR="009A7048" w:rsidRPr="00A34B45" w:rsidRDefault="009A7048" w:rsidP="008B6D8F">
      <w:pPr>
        <w:tabs>
          <w:tab w:val="left" w:pos="5244"/>
        </w:tabs>
        <w:spacing w:after="0"/>
        <w:rPr>
          <w:sz w:val="2"/>
          <w:szCs w:val="2"/>
        </w:rPr>
      </w:pPr>
    </w:p>
    <w:tbl>
      <w:tblPr>
        <w:tblW w:w="5774" w:type="pct"/>
        <w:tblInd w:w="-1139" w:type="dxa"/>
        <w:tblLayout w:type="fixed"/>
        <w:tblCellMar>
          <w:left w:w="70" w:type="dxa"/>
          <w:right w:w="70" w:type="dxa"/>
        </w:tblCellMar>
        <w:tblLook w:val="00A0" w:firstRow="1" w:lastRow="0" w:firstColumn="1" w:lastColumn="0" w:noHBand="0" w:noVBand="0"/>
      </w:tblPr>
      <w:tblGrid>
        <w:gridCol w:w="567"/>
        <w:gridCol w:w="2693"/>
        <w:gridCol w:w="9781"/>
        <w:gridCol w:w="3119"/>
      </w:tblGrid>
      <w:tr w:rsidR="00CA6716" w14:paraId="68BC7E23" w14:textId="77777777" w:rsidTr="00CA6716">
        <w:trPr>
          <w:trHeight w:val="564"/>
          <w:tblHeader/>
        </w:trPr>
        <w:tc>
          <w:tcPr>
            <w:tcW w:w="16160" w:type="dxa"/>
            <w:gridSpan w:val="4"/>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588B60B" w14:textId="545EAEB2" w:rsidR="00CA6716" w:rsidRPr="0063670D" w:rsidRDefault="00CA6716" w:rsidP="00CA6716">
            <w:pPr>
              <w:widowControl w:val="0"/>
              <w:spacing w:after="0"/>
              <w:rPr>
                <w:b/>
                <w:bCs/>
                <w:color w:val="000099"/>
                <w:sz w:val="24"/>
                <w:szCs w:val="24"/>
              </w:rPr>
            </w:pPr>
            <w:r w:rsidRPr="0063670D">
              <w:rPr>
                <w:b/>
                <w:bCs/>
                <w:color w:val="000099"/>
                <w:sz w:val="24"/>
                <w:szCs w:val="24"/>
              </w:rPr>
              <w:t>Kryteria merytoryczne szczegółowe</w:t>
            </w:r>
          </w:p>
        </w:tc>
      </w:tr>
      <w:tr w:rsidR="00CA6716" w14:paraId="14A18134" w14:textId="159E21F9" w:rsidTr="00CA6716">
        <w:trPr>
          <w:trHeight w:val="564"/>
          <w:tblHeader/>
        </w:trPr>
        <w:tc>
          <w:tcPr>
            <w:tcW w:w="56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4E7B9C2D" w14:textId="1808A987" w:rsidR="00CA6716" w:rsidRPr="00F872BD" w:rsidRDefault="00CA6716" w:rsidP="004E6BCC">
            <w:pPr>
              <w:widowControl w:val="0"/>
              <w:spacing w:after="0"/>
              <w:jc w:val="center"/>
              <w:rPr>
                <w:rFonts w:cstheme="minorHAnsi"/>
                <w:sz w:val="24"/>
                <w:szCs w:val="24"/>
              </w:rPr>
            </w:pPr>
            <w:r w:rsidRPr="0063670D">
              <w:rPr>
                <w:b/>
                <w:bCs/>
                <w:color w:val="000099"/>
                <w:sz w:val="24"/>
                <w:szCs w:val="24"/>
              </w:rPr>
              <w:t>Lp.</w:t>
            </w:r>
          </w:p>
        </w:tc>
        <w:tc>
          <w:tcPr>
            <w:tcW w:w="2693"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7234E60" w14:textId="37B45C2F" w:rsidR="00CA6716" w:rsidRPr="00F872BD" w:rsidRDefault="00CA6716" w:rsidP="004E6BCC">
            <w:pPr>
              <w:spacing w:after="0"/>
              <w:jc w:val="center"/>
              <w:rPr>
                <w:rFonts w:ascii="Calibri" w:hAnsi="Calibri" w:cs="Arial"/>
                <w:sz w:val="24"/>
                <w:szCs w:val="24"/>
              </w:rPr>
            </w:pPr>
            <w:r w:rsidRPr="0063670D">
              <w:rPr>
                <w:b/>
                <w:bCs/>
                <w:color w:val="000099"/>
                <w:sz w:val="24"/>
                <w:szCs w:val="24"/>
              </w:rPr>
              <w:t>Nazwa kryterium</w:t>
            </w:r>
          </w:p>
        </w:tc>
        <w:tc>
          <w:tcPr>
            <w:tcW w:w="978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B436BDA" w14:textId="6A857850" w:rsidR="00CA6716" w:rsidRDefault="00CA6716" w:rsidP="004E6BCC">
            <w:pPr>
              <w:widowControl w:val="0"/>
              <w:spacing w:before="120" w:after="120"/>
              <w:jc w:val="center"/>
              <w:rPr>
                <w:rFonts w:cstheme="minorHAnsi"/>
                <w:sz w:val="24"/>
                <w:szCs w:val="24"/>
              </w:rPr>
            </w:pPr>
            <w:r w:rsidRPr="0063670D">
              <w:rPr>
                <w:b/>
                <w:bCs/>
                <w:color w:val="000099"/>
                <w:sz w:val="24"/>
                <w:szCs w:val="24"/>
              </w:rPr>
              <w:t>Definicja</w:t>
            </w:r>
          </w:p>
        </w:tc>
        <w:tc>
          <w:tcPr>
            <w:tcW w:w="311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48D87DA" w14:textId="58C9752A" w:rsidR="00CA6716" w:rsidRDefault="00CA6716" w:rsidP="004E6BCC">
            <w:pPr>
              <w:widowControl w:val="0"/>
              <w:spacing w:after="0"/>
              <w:jc w:val="center"/>
              <w:rPr>
                <w:rFonts w:cstheme="minorHAnsi"/>
                <w:sz w:val="24"/>
                <w:szCs w:val="24"/>
              </w:rPr>
            </w:pPr>
            <w:r w:rsidRPr="0063670D">
              <w:rPr>
                <w:b/>
                <w:bCs/>
                <w:color w:val="000099"/>
                <w:sz w:val="24"/>
                <w:szCs w:val="24"/>
              </w:rPr>
              <w:t>Opis znaczenia kryterium</w:t>
            </w:r>
          </w:p>
        </w:tc>
      </w:tr>
      <w:tr w:rsidR="00CA6716" w14:paraId="4E04065E" w14:textId="3FDC9C4A" w:rsidTr="00CA6716">
        <w:trPr>
          <w:trHeight w:val="232"/>
          <w:tblHeader/>
        </w:trPr>
        <w:tc>
          <w:tcPr>
            <w:tcW w:w="56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12E6548D" w14:textId="070DA7DE" w:rsidR="00CA6716" w:rsidRPr="004E6BCC" w:rsidRDefault="00CA6716" w:rsidP="004E6BCC">
            <w:pPr>
              <w:widowControl w:val="0"/>
              <w:spacing w:after="0"/>
              <w:jc w:val="center"/>
              <w:rPr>
                <w:rFonts w:cstheme="minorHAnsi"/>
                <w:i/>
                <w:sz w:val="24"/>
                <w:szCs w:val="24"/>
              </w:rPr>
            </w:pPr>
            <w:r w:rsidRPr="004E6BCC">
              <w:rPr>
                <w:bCs/>
                <w:i/>
                <w:iCs/>
                <w:color w:val="000099"/>
                <w:sz w:val="24"/>
                <w:szCs w:val="24"/>
              </w:rPr>
              <w:t>1</w:t>
            </w:r>
          </w:p>
        </w:tc>
        <w:tc>
          <w:tcPr>
            <w:tcW w:w="2693"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29466297" w14:textId="047275FB" w:rsidR="00CA6716" w:rsidRPr="004E6BCC" w:rsidRDefault="00CA6716" w:rsidP="004E6BCC">
            <w:pPr>
              <w:spacing w:after="0"/>
              <w:jc w:val="center"/>
              <w:rPr>
                <w:rFonts w:ascii="Calibri" w:eastAsia="SimSun" w:hAnsi="Calibri" w:cs="Arial"/>
                <w:i/>
                <w:kern w:val="2"/>
                <w:sz w:val="24"/>
                <w:szCs w:val="24"/>
                <w:lang w:eastAsia="hi-IN" w:bidi="hi-IN"/>
              </w:rPr>
            </w:pPr>
            <w:r w:rsidRPr="004E6BCC">
              <w:rPr>
                <w:bCs/>
                <w:i/>
                <w:iCs/>
                <w:color w:val="000099"/>
                <w:sz w:val="24"/>
                <w:szCs w:val="24"/>
              </w:rPr>
              <w:t>2</w:t>
            </w:r>
          </w:p>
        </w:tc>
        <w:tc>
          <w:tcPr>
            <w:tcW w:w="978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4CBB29DC" w14:textId="3FC25897" w:rsidR="00CA6716" w:rsidRPr="004E6BCC" w:rsidRDefault="00CA6716" w:rsidP="004E6BCC">
            <w:pPr>
              <w:widowControl w:val="0"/>
              <w:spacing w:after="0"/>
              <w:jc w:val="center"/>
              <w:rPr>
                <w:rFonts w:cstheme="minorHAnsi"/>
                <w:i/>
                <w:sz w:val="24"/>
                <w:szCs w:val="24"/>
              </w:rPr>
            </w:pPr>
            <w:r w:rsidRPr="004E6BCC">
              <w:rPr>
                <w:bCs/>
                <w:i/>
                <w:iCs/>
                <w:color w:val="000099"/>
                <w:sz w:val="24"/>
                <w:szCs w:val="24"/>
              </w:rPr>
              <w:t>3</w:t>
            </w:r>
          </w:p>
        </w:tc>
        <w:tc>
          <w:tcPr>
            <w:tcW w:w="311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4341CA8B" w14:textId="6CB613D8" w:rsidR="00CA6716" w:rsidRPr="004E6BCC" w:rsidRDefault="00CA6716" w:rsidP="004E6BCC">
            <w:pPr>
              <w:widowControl w:val="0"/>
              <w:spacing w:after="0"/>
              <w:jc w:val="center"/>
              <w:rPr>
                <w:rFonts w:cstheme="minorHAnsi"/>
                <w:i/>
                <w:sz w:val="24"/>
                <w:szCs w:val="24"/>
              </w:rPr>
            </w:pPr>
            <w:r w:rsidRPr="004E6BCC">
              <w:rPr>
                <w:bCs/>
                <w:i/>
                <w:iCs/>
                <w:color w:val="000099"/>
                <w:sz w:val="24"/>
                <w:szCs w:val="24"/>
              </w:rPr>
              <w:t>4</w:t>
            </w:r>
          </w:p>
        </w:tc>
      </w:tr>
      <w:tr w:rsidR="00CA6716" w14:paraId="03C81CE4" w14:textId="66EBC1BD" w:rsidTr="00CA6716">
        <w:tc>
          <w:tcPr>
            <w:tcW w:w="567" w:type="dxa"/>
            <w:tcBorders>
              <w:left w:val="single" w:sz="4" w:space="0" w:color="92D050"/>
              <w:bottom w:val="single" w:sz="4" w:space="0" w:color="92D050"/>
              <w:right w:val="single" w:sz="4" w:space="0" w:color="92D050"/>
            </w:tcBorders>
            <w:vAlign w:val="center"/>
          </w:tcPr>
          <w:p w14:paraId="69E978BF" w14:textId="2F12AD69" w:rsidR="00CA6716" w:rsidRPr="008B6D8F" w:rsidRDefault="00CA6716" w:rsidP="008B6D8F">
            <w:pPr>
              <w:widowControl w:val="0"/>
              <w:spacing w:after="0"/>
              <w:rPr>
                <w:rFonts w:cs="Calibri"/>
                <w:sz w:val="24"/>
                <w:szCs w:val="24"/>
              </w:rPr>
            </w:pPr>
            <w:r w:rsidRPr="008B6D8F">
              <w:rPr>
                <w:rFonts w:ascii="Calibri" w:hAnsi="Calibri" w:cs="Arial"/>
                <w:sz w:val="24"/>
                <w:szCs w:val="24"/>
              </w:rPr>
              <w:t>1.</w:t>
            </w:r>
          </w:p>
        </w:tc>
        <w:tc>
          <w:tcPr>
            <w:tcW w:w="2693" w:type="dxa"/>
            <w:tcBorders>
              <w:left w:val="single" w:sz="4" w:space="0" w:color="92D050"/>
              <w:bottom w:val="single" w:sz="4" w:space="0" w:color="92D050"/>
              <w:right w:val="single" w:sz="4" w:space="0" w:color="92D050"/>
            </w:tcBorders>
            <w:vAlign w:val="center"/>
          </w:tcPr>
          <w:p w14:paraId="3CCA1559" w14:textId="0802DA10" w:rsidR="00CA6716" w:rsidRPr="00F872BD" w:rsidRDefault="00CA6716" w:rsidP="008B6D8F">
            <w:pPr>
              <w:spacing w:after="0"/>
              <w:rPr>
                <w:rFonts w:ascii="Calibri" w:eastAsia="SimSun" w:hAnsi="Calibri" w:cs="Arial"/>
                <w:kern w:val="2"/>
                <w:sz w:val="24"/>
                <w:szCs w:val="24"/>
                <w:lang w:eastAsia="hi-IN" w:bidi="hi-IN"/>
              </w:rPr>
            </w:pPr>
            <w:r>
              <w:rPr>
                <w:rFonts w:ascii="Calibri" w:eastAsia="SimSun" w:hAnsi="Calibri" w:cs="Arial"/>
                <w:kern w:val="2"/>
                <w:sz w:val="24"/>
                <w:szCs w:val="24"/>
                <w:lang w:eastAsia="hi-IN" w:bidi="hi-IN"/>
              </w:rPr>
              <w:t xml:space="preserve">Zgodność SUMP ze Strategią Zrównoważonego Rozwoju Transportu </w:t>
            </w:r>
            <w:r>
              <w:rPr>
                <w:rFonts w:ascii="Calibri" w:eastAsia="SimSun" w:hAnsi="Calibri" w:cs="Arial"/>
                <w:kern w:val="2"/>
                <w:sz w:val="24"/>
                <w:szCs w:val="24"/>
                <w:lang w:eastAsia="hi-IN" w:bidi="hi-IN"/>
              </w:rPr>
              <w:br/>
              <w:t>do 2030 roku</w:t>
            </w:r>
          </w:p>
        </w:tc>
        <w:tc>
          <w:tcPr>
            <w:tcW w:w="9781" w:type="dxa"/>
            <w:tcBorders>
              <w:left w:val="single" w:sz="4" w:space="0" w:color="92D050"/>
              <w:bottom w:val="single" w:sz="4" w:space="0" w:color="92D050"/>
              <w:right w:val="single" w:sz="4" w:space="0" w:color="92D050"/>
            </w:tcBorders>
            <w:vAlign w:val="center"/>
          </w:tcPr>
          <w:p w14:paraId="03973C6C" w14:textId="7F8DBB43" w:rsidR="00CA6716" w:rsidRPr="00040AB4" w:rsidRDefault="00CA6716" w:rsidP="008B6D8F">
            <w:pPr>
              <w:autoSpaceDE w:val="0"/>
              <w:autoSpaceDN w:val="0"/>
              <w:adjustRightInd w:val="0"/>
              <w:spacing w:after="0"/>
              <w:rPr>
                <w:rFonts w:ascii="Calibri" w:hAnsi="Calibri" w:cs="Calibri"/>
                <w:i/>
                <w:iCs/>
                <w:sz w:val="24"/>
                <w:szCs w:val="24"/>
              </w:rPr>
            </w:pPr>
            <w:r w:rsidRPr="00D14ED5">
              <w:rPr>
                <w:rFonts w:ascii="Calibri" w:hAnsi="Calibri" w:cs="Calibri"/>
                <w:sz w:val="24"/>
                <w:szCs w:val="24"/>
              </w:rPr>
              <w:t xml:space="preserve">W ramach kryterium weryfikowane będzie, czy SUMP wykazywać będzie zgodność ze Strategią Zrównoważonego Rozwoju Transportu do 2030 roku w zakresie celów </w:t>
            </w:r>
            <w:r>
              <w:rPr>
                <w:rFonts w:ascii="Calibri" w:hAnsi="Calibri" w:cs="Calibri"/>
                <w:sz w:val="24"/>
                <w:szCs w:val="24"/>
              </w:rPr>
              <w:t>i </w:t>
            </w:r>
            <w:r w:rsidRPr="00D14ED5">
              <w:rPr>
                <w:rFonts w:ascii="Calibri" w:hAnsi="Calibri" w:cs="Calibri"/>
                <w:sz w:val="24"/>
                <w:szCs w:val="24"/>
              </w:rPr>
              <w:t>kierunków interwencji Strategii Zrównoważonego Rozwoju Transportu do 2030 roku.</w:t>
            </w:r>
          </w:p>
          <w:p w14:paraId="5BF5B959" w14:textId="1D0C1B52" w:rsidR="00CA6716" w:rsidRPr="00D14ED5" w:rsidRDefault="00CA6716" w:rsidP="00604ADE">
            <w:pPr>
              <w:autoSpaceDE w:val="0"/>
              <w:autoSpaceDN w:val="0"/>
              <w:adjustRightInd w:val="0"/>
              <w:spacing w:before="120" w:after="120"/>
              <w:rPr>
                <w:rFonts w:ascii="Calibri" w:hAnsi="Calibri" w:cs="Calibri"/>
                <w:sz w:val="24"/>
                <w:szCs w:val="24"/>
              </w:rPr>
            </w:pPr>
            <w:r>
              <w:rPr>
                <w:rFonts w:cstheme="minorHAnsi"/>
                <w:sz w:val="24"/>
                <w:szCs w:val="24"/>
              </w:rPr>
              <w:t>Kryterium weryfikowane na podstawie zapisów wniosku o dofinansowanie i załączników i/lub wyjaśnień udzielonych przez Wnioskodawcę</w:t>
            </w:r>
            <w:r w:rsidRPr="00D14ED5">
              <w:rPr>
                <w:rFonts w:ascii="Calibri" w:hAnsi="Calibri" w:cs="Calibri"/>
                <w:sz w:val="24"/>
                <w:szCs w:val="24"/>
              </w:rPr>
              <w:t>.</w:t>
            </w:r>
          </w:p>
          <w:p w14:paraId="2FA1C8A1" w14:textId="4D9FC3F6" w:rsidR="00CA6716" w:rsidRPr="00FA0FC6" w:rsidRDefault="00CA6716" w:rsidP="003B23B5">
            <w:pPr>
              <w:autoSpaceDE w:val="0"/>
              <w:autoSpaceDN w:val="0"/>
              <w:adjustRightInd w:val="0"/>
              <w:spacing w:after="0"/>
              <w:rPr>
                <w:rFonts w:cstheme="minorHAnsi"/>
                <w:sz w:val="24"/>
                <w:szCs w:val="24"/>
                <w:lang w:eastAsia="pl-PL"/>
              </w:rPr>
            </w:pPr>
            <w:r w:rsidRPr="00D14ED5">
              <w:rPr>
                <w:rFonts w:ascii="Calibri" w:hAnsi="Calibri" w:cs="Calibri"/>
                <w:sz w:val="24"/>
                <w:szCs w:val="24"/>
              </w:rPr>
              <w:t>Kryterium uznaje się za spełnione, jeżeli SUMP wykazywać będzie zgodność ze Strategią Zrównoważonego Rozwoju Transportu do 2030 roku w zakresie celów i kierunków interwencji Strategii Zrównoważonego Rozwoju Transportu do 2030 roku.</w:t>
            </w:r>
          </w:p>
        </w:tc>
        <w:tc>
          <w:tcPr>
            <w:tcW w:w="3119" w:type="dxa"/>
            <w:tcBorders>
              <w:left w:val="single" w:sz="4" w:space="0" w:color="92D050"/>
              <w:bottom w:val="single" w:sz="4" w:space="0" w:color="92D050"/>
              <w:right w:val="single" w:sz="4" w:space="0" w:color="92D050"/>
            </w:tcBorders>
            <w:vAlign w:val="center"/>
          </w:tcPr>
          <w:p w14:paraId="6C9AA566" w14:textId="7E8FD43E" w:rsidR="00CA6716" w:rsidRDefault="00CA6716" w:rsidP="008B6D8F">
            <w:pPr>
              <w:widowControl w:val="0"/>
              <w:spacing w:after="0"/>
              <w:rPr>
                <w:rFonts w:cstheme="minorHAnsi"/>
                <w:sz w:val="24"/>
                <w:szCs w:val="24"/>
              </w:rPr>
            </w:pPr>
            <w:r>
              <w:rPr>
                <w:rFonts w:cstheme="minorHAnsi"/>
                <w:sz w:val="24"/>
                <w:szCs w:val="24"/>
              </w:rPr>
              <w:t>Kryterium bezwzględne (0/1)</w:t>
            </w:r>
          </w:p>
        </w:tc>
      </w:tr>
      <w:tr w:rsidR="00CA6716" w14:paraId="0E66027C" w14:textId="5CA647F2" w:rsidTr="00CA6716">
        <w:tc>
          <w:tcPr>
            <w:tcW w:w="567" w:type="dxa"/>
            <w:tcBorders>
              <w:left w:val="single" w:sz="4" w:space="0" w:color="92D050"/>
              <w:bottom w:val="single" w:sz="4" w:space="0" w:color="92D050"/>
              <w:right w:val="single" w:sz="4" w:space="0" w:color="92D050"/>
            </w:tcBorders>
            <w:vAlign w:val="center"/>
          </w:tcPr>
          <w:p w14:paraId="0B75361E" w14:textId="3A418B8A" w:rsidR="00CA6716" w:rsidRPr="00F872BD" w:rsidRDefault="00CA6716" w:rsidP="00822661">
            <w:pPr>
              <w:widowControl w:val="0"/>
              <w:spacing w:after="0"/>
              <w:rPr>
                <w:rFonts w:cstheme="minorHAnsi"/>
                <w:sz w:val="24"/>
                <w:szCs w:val="24"/>
                <w:highlight w:val="yellow"/>
              </w:rPr>
            </w:pPr>
            <w:r>
              <w:rPr>
                <w:rFonts w:cs="Calibri"/>
                <w:sz w:val="24"/>
                <w:szCs w:val="24"/>
              </w:rPr>
              <w:t>2</w:t>
            </w:r>
            <w:r w:rsidRPr="00F872BD">
              <w:rPr>
                <w:rFonts w:cs="Calibri"/>
                <w:sz w:val="24"/>
                <w:szCs w:val="24"/>
              </w:rPr>
              <w:t>.</w:t>
            </w:r>
          </w:p>
        </w:tc>
        <w:tc>
          <w:tcPr>
            <w:tcW w:w="2693" w:type="dxa"/>
            <w:tcBorders>
              <w:left w:val="single" w:sz="4" w:space="0" w:color="92D050"/>
              <w:bottom w:val="single" w:sz="4" w:space="0" w:color="92D050"/>
              <w:right w:val="single" w:sz="4" w:space="0" w:color="92D050"/>
            </w:tcBorders>
            <w:vAlign w:val="center"/>
          </w:tcPr>
          <w:p w14:paraId="51411250" w14:textId="4C18F872" w:rsidR="00CA6716" w:rsidRPr="00F872BD" w:rsidRDefault="00CA6716" w:rsidP="008B6D8F">
            <w:pPr>
              <w:spacing w:after="0"/>
              <w:rPr>
                <w:rFonts w:ascii="Calibri" w:eastAsia="SimSun" w:hAnsi="Calibri" w:cs="Arial"/>
                <w:kern w:val="2"/>
                <w:sz w:val="24"/>
                <w:szCs w:val="24"/>
                <w:lang w:eastAsia="hi-IN" w:bidi="hi-IN"/>
              </w:rPr>
            </w:pPr>
            <w:r w:rsidRPr="00F872BD">
              <w:rPr>
                <w:rFonts w:ascii="Calibri" w:eastAsia="SimSun" w:hAnsi="Calibri" w:cs="Arial"/>
                <w:kern w:val="2"/>
                <w:sz w:val="24"/>
                <w:szCs w:val="24"/>
                <w:lang w:eastAsia="hi-IN" w:bidi="hi-IN"/>
              </w:rPr>
              <w:t xml:space="preserve">Zgodność SUMP </w:t>
            </w:r>
            <w:r w:rsidRPr="00F872BD">
              <w:rPr>
                <w:rFonts w:ascii="Calibri" w:eastAsia="SimSun" w:hAnsi="Calibri" w:cs="Arial"/>
                <w:kern w:val="2"/>
                <w:sz w:val="24"/>
                <w:szCs w:val="24"/>
                <w:lang w:eastAsia="hi-IN" w:bidi="hi-IN"/>
              </w:rPr>
              <w:br/>
              <w:t xml:space="preserve">z Wytycznymi dotyczącymi opracowania i wdrożenia planu zrównoważonej mobilności </w:t>
            </w:r>
            <w:r w:rsidRPr="00F872BD">
              <w:rPr>
                <w:rFonts w:ascii="Calibri" w:eastAsia="SimSun" w:hAnsi="Calibri" w:cs="Arial"/>
                <w:kern w:val="2"/>
                <w:sz w:val="24"/>
                <w:szCs w:val="24"/>
                <w:lang w:eastAsia="hi-IN" w:bidi="hi-IN"/>
              </w:rPr>
              <w:br/>
              <w:t>w miastach - edycja druga</w:t>
            </w:r>
          </w:p>
          <w:p w14:paraId="48685AD5" w14:textId="77777777" w:rsidR="00CA6716" w:rsidRPr="00F872BD" w:rsidRDefault="00CA6716" w:rsidP="008B6D8F">
            <w:pPr>
              <w:spacing w:after="0"/>
              <w:rPr>
                <w:rFonts w:ascii="Calibri" w:eastAsia="SimSun" w:hAnsi="Calibri" w:cs="Arial"/>
                <w:kern w:val="2"/>
                <w:sz w:val="24"/>
                <w:szCs w:val="24"/>
                <w:lang w:eastAsia="hi-IN" w:bidi="hi-IN"/>
              </w:rPr>
            </w:pPr>
          </w:p>
        </w:tc>
        <w:tc>
          <w:tcPr>
            <w:tcW w:w="9781" w:type="dxa"/>
            <w:tcBorders>
              <w:left w:val="single" w:sz="4" w:space="0" w:color="92D050"/>
              <w:bottom w:val="single" w:sz="4" w:space="0" w:color="92D050"/>
              <w:right w:val="single" w:sz="4" w:space="0" w:color="92D050"/>
            </w:tcBorders>
            <w:vAlign w:val="center"/>
          </w:tcPr>
          <w:p w14:paraId="66717A10" w14:textId="47C2CF64" w:rsidR="00CA6716" w:rsidRPr="00FA0FC6" w:rsidRDefault="00CA6716" w:rsidP="008B6D8F">
            <w:pPr>
              <w:autoSpaceDE w:val="0"/>
              <w:autoSpaceDN w:val="0"/>
              <w:adjustRightInd w:val="0"/>
              <w:spacing w:after="120"/>
              <w:rPr>
                <w:rFonts w:cstheme="minorHAnsi"/>
                <w:sz w:val="24"/>
                <w:szCs w:val="24"/>
                <w:lang w:eastAsia="pl-PL"/>
              </w:rPr>
            </w:pPr>
            <w:r w:rsidRPr="00FA0FC6">
              <w:rPr>
                <w:rFonts w:cstheme="minorHAnsi"/>
                <w:sz w:val="24"/>
                <w:szCs w:val="24"/>
                <w:lang w:eastAsia="pl-PL"/>
              </w:rPr>
              <w:t>Kryterium weryfikuje, czy opracowanie SUMP dokonane zostanie zgodnie z 8 zasadami SUMP wskazanymi w Wytycznych dotyczących opracowania i wdrożenia planu zrównoważonej mobilności w miastach - edycja druga.</w:t>
            </w:r>
          </w:p>
          <w:p w14:paraId="2A64AC1A" w14:textId="77777777" w:rsidR="00CA6716" w:rsidRPr="00FA0FC6" w:rsidRDefault="00CA6716" w:rsidP="008B6D8F">
            <w:pPr>
              <w:autoSpaceDE w:val="0"/>
              <w:autoSpaceDN w:val="0"/>
              <w:adjustRightInd w:val="0"/>
              <w:spacing w:after="120"/>
              <w:rPr>
                <w:rFonts w:cstheme="minorHAnsi"/>
                <w:sz w:val="24"/>
                <w:szCs w:val="24"/>
                <w:lang w:eastAsia="pl-PL"/>
              </w:rPr>
            </w:pPr>
            <w:r w:rsidRPr="00FA0FC6">
              <w:rPr>
                <w:rFonts w:cstheme="minorHAnsi"/>
                <w:sz w:val="24"/>
                <w:szCs w:val="24"/>
                <w:lang w:eastAsia="pl-PL"/>
              </w:rPr>
              <w:t xml:space="preserve">Zgodnie z ww. Wytycznymi SUMP powinien zostać opracowany w oparciu o tzw. 8 zasad SUMP: </w:t>
            </w:r>
          </w:p>
          <w:p w14:paraId="732B37AF" w14:textId="6B58EED6" w:rsidR="00CA6716" w:rsidRPr="00FA0FC6" w:rsidRDefault="00CA6716" w:rsidP="003B23B5">
            <w:pPr>
              <w:numPr>
                <w:ilvl w:val="0"/>
                <w:numId w:val="9"/>
              </w:numPr>
              <w:spacing w:after="0"/>
              <w:ind w:left="361"/>
              <w:rPr>
                <w:rFonts w:cstheme="minorHAnsi"/>
                <w:sz w:val="24"/>
                <w:szCs w:val="24"/>
              </w:rPr>
            </w:pPr>
            <w:r w:rsidRPr="00FA0FC6">
              <w:rPr>
                <w:rFonts w:cstheme="minorHAnsi"/>
                <w:sz w:val="24"/>
                <w:szCs w:val="24"/>
              </w:rPr>
              <w:t>Obejmuje wszystkie właściwe gałęzie transportu i formy mobilności,</w:t>
            </w:r>
          </w:p>
          <w:p w14:paraId="5C043766" w14:textId="74C00070" w:rsidR="00CA6716" w:rsidRPr="00FA0FC6" w:rsidRDefault="00CA6716" w:rsidP="003B23B5">
            <w:pPr>
              <w:numPr>
                <w:ilvl w:val="0"/>
                <w:numId w:val="9"/>
              </w:numPr>
              <w:spacing w:after="0"/>
              <w:ind w:left="361"/>
              <w:rPr>
                <w:rFonts w:cstheme="minorHAnsi"/>
                <w:sz w:val="24"/>
                <w:szCs w:val="24"/>
              </w:rPr>
            </w:pPr>
            <w:r w:rsidRPr="00FA0FC6">
              <w:rPr>
                <w:rFonts w:cstheme="minorHAnsi"/>
                <w:sz w:val="24"/>
                <w:szCs w:val="24"/>
              </w:rPr>
              <w:t>Został przygotowany przy niezbędnej współpracy między zainteresowanymi instytucjami i</w:t>
            </w:r>
            <w:r w:rsidR="00A34B45">
              <w:rPr>
                <w:rFonts w:cstheme="minorHAnsi"/>
                <w:sz w:val="24"/>
                <w:szCs w:val="24"/>
              </w:rPr>
              <w:t> </w:t>
            </w:r>
            <w:r w:rsidRPr="00FA0FC6">
              <w:rPr>
                <w:rFonts w:cstheme="minorHAnsi"/>
                <w:sz w:val="24"/>
                <w:szCs w:val="24"/>
              </w:rPr>
              <w:t>jednostkami terytorialnymi,</w:t>
            </w:r>
          </w:p>
          <w:p w14:paraId="28CE2397" w14:textId="77777777" w:rsidR="00CA6716" w:rsidRPr="00FA0FC6" w:rsidRDefault="00CA6716" w:rsidP="003B23B5">
            <w:pPr>
              <w:numPr>
                <w:ilvl w:val="0"/>
                <w:numId w:val="9"/>
              </w:numPr>
              <w:spacing w:after="0"/>
              <w:ind w:left="361"/>
              <w:rPr>
                <w:rFonts w:cstheme="minorHAnsi"/>
                <w:sz w:val="24"/>
                <w:szCs w:val="24"/>
              </w:rPr>
            </w:pPr>
            <w:r w:rsidRPr="00FA0FC6">
              <w:rPr>
                <w:rFonts w:cstheme="minorHAnsi"/>
                <w:sz w:val="24"/>
                <w:szCs w:val="24"/>
              </w:rPr>
              <w:lastRenderedPageBreak/>
              <w:t>Zapewnia spójność i komplementarność względem innych polityk miejskich (np. polityki zdrowia, środowiska, edukacji, bezpieczeństwa, polityki społecznej, planowania przestrzennego itd.),</w:t>
            </w:r>
          </w:p>
          <w:p w14:paraId="0738220A" w14:textId="4F88A798" w:rsidR="00CA6716" w:rsidRPr="00FA0FC6" w:rsidRDefault="00CA6716" w:rsidP="003B23B5">
            <w:pPr>
              <w:numPr>
                <w:ilvl w:val="0"/>
                <w:numId w:val="9"/>
              </w:numPr>
              <w:spacing w:after="0"/>
              <w:ind w:left="361"/>
              <w:rPr>
                <w:rFonts w:cstheme="minorHAnsi"/>
                <w:sz w:val="24"/>
                <w:szCs w:val="24"/>
              </w:rPr>
            </w:pPr>
            <w:r w:rsidRPr="00FA0FC6">
              <w:rPr>
                <w:rFonts w:cstheme="minorHAnsi"/>
                <w:sz w:val="24"/>
                <w:szCs w:val="24"/>
              </w:rPr>
              <w:t>Został opracowany przy zapewnieniu właściwej partycypacji społecznej i zaangażowaniu interesariuszy,</w:t>
            </w:r>
          </w:p>
          <w:p w14:paraId="0F7E865E" w14:textId="77777777" w:rsidR="00CA6716" w:rsidRPr="00FA0FC6" w:rsidRDefault="00CA6716" w:rsidP="003B23B5">
            <w:pPr>
              <w:numPr>
                <w:ilvl w:val="0"/>
                <w:numId w:val="9"/>
              </w:numPr>
              <w:spacing w:after="0"/>
              <w:ind w:left="361"/>
              <w:rPr>
                <w:rFonts w:cstheme="minorHAnsi"/>
                <w:sz w:val="24"/>
                <w:szCs w:val="24"/>
              </w:rPr>
            </w:pPr>
            <w:r w:rsidRPr="00FA0FC6">
              <w:rPr>
                <w:rFonts w:cstheme="minorHAnsi"/>
                <w:sz w:val="24"/>
                <w:szCs w:val="24"/>
              </w:rPr>
              <w:t>Formułuje długofalową wizję rozwoju zrównoważonej mobilności na obszarze MOF,</w:t>
            </w:r>
          </w:p>
          <w:p w14:paraId="03F5887D" w14:textId="77777777" w:rsidR="00CA6716" w:rsidRPr="00FA0FC6" w:rsidRDefault="00CA6716" w:rsidP="003B23B5">
            <w:pPr>
              <w:numPr>
                <w:ilvl w:val="0"/>
                <w:numId w:val="9"/>
              </w:numPr>
              <w:spacing w:after="0"/>
              <w:ind w:left="361"/>
              <w:rPr>
                <w:rFonts w:cstheme="minorHAnsi"/>
                <w:sz w:val="24"/>
                <w:szCs w:val="24"/>
              </w:rPr>
            </w:pPr>
            <w:r w:rsidRPr="00FA0FC6">
              <w:rPr>
                <w:rFonts w:cstheme="minorHAnsi"/>
                <w:sz w:val="24"/>
                <w:szCs w:val="24"/>
              </w:rPr>
              <w:t>Określa mierzalne cele i wskaźniki obejmujące co najmniej:</w:t>
            </w:r>
          </w:p>
          <w:p w14:paraId="7D81C9B2" w14:textId="489262C3" w:rsidR="00CA6716" w:rsidRPr="00FA0FC6" w:rsidRDefault="00CA6716" w:rsidP="00987CA2">
            <w:pPr>
              <w:numPr>
                <w:ilvl w:val="0"/>
                <w:numId w:val="10"/>
              </w:numPr>
              <w:spacing w:after="0"/>
              <w:ind w:left="786"/>
              <w:rPr>
                <w:rFonts w:cstheme="minorHAnsi"/>
                <w:sz w:val="24"/>
                <w:szCs w:val="24"/>
              </w:rPr>
            </w:pPr>
            <w:r w:rsidRPr="00FA0FC6">
              <w:rPr>
                <w:rFonts w:cstheme="minorHAnsi"/>
                <w:sz w:val="24"/>
                <w:szCs w:val="24"/>
              </w:rPr>
              <w:t xml:space="preserve">redukcję emisji gazów cieplarnianych </w:t>
            </w:r>
            <w:r>
              <w:rPr>
                <w:rFonts w:cstheme="minorHAnsi"/>
                <w:sz w:val="24"/>
                <w:szCs w:val="24"/>
              </w:rPr>
              <w:br/>
            </w:r>
            <w:r w:rsidRPr="00FA0FC6">
              <w:rPr>
                <w:rFonts w:cstheme="minorHAnsi"/>
                <w:sz w:val="24"/>
                <w:szCs w:val="24"/>
              </w:rPr>
              <w:t>i zanieczyszczeń;</w:t>
            </w:r>
          </w:p>
          <w:p w14:paraId="7723AAE5" w14:textId="77777777" w:rsidR="00CA6716" w:rsidRPr="00FA0FC6" w:rsidRDefault="00CA6716" w:rsidP="003B23B5">
            <w:pPr>
              <w:numPr>
                <w:ilvl w:val="0"/>
                <w:numId w:val="10"/>
              </w:numPr>
              <w:spacing w:after="0"/>
              <w:ind w:left="786"/>
              <w:rPr>
                <w:rFonts w:cstheme="minorHAnsi"/>
                <w:sz w:val="24"/>
                <w:szCs w:val="24"/>
              </w:rPr>
            </w:pPr>
            <w:r w:rsidRPr="00FA0FC6">
              <w:rPr>
                <w:rFonts w:cstheme="minorHAnsi"/>
                <w:sz w:val="24"/>
                <w:szCs w:val="24"/>
              </w:rPr>
              <w:t>stopień wykorzystania zrównoważonych form transportu względem indywidualnego transportu samochodowego (podział modalny);</w:t>
            </w:r>
          </w:p>
          <w:p w14:paraId="2E600F80" w14:textId="77777777" w:rsidR="00CA6716" w:rsidRPr="00FA0FC6" w:rsidRDefault="00CA6716" w:rsidP="003B23B5">
            <w:pPr>
              <w:numPr>
                <w:ilvl w:val="0"/>
                <w:numId w:val="10"/>
              </w:numPr>
              <w:spacing w:after="0"/>
              <w:ind w:left="786"/>
              <w:rPr>
                <w:rFonts w:cstheme="minorHAnsi"/>
                <w:sz w:val="24"/>
                <w:szCs w:val="24"/>
              </w:rPr>
            </w:pPr>
            <w:r w:rsidRPr="00FA0FC6">
              <w:rPr>
                <w:rFonts w:cstheme="minorHAnsi"/>
                <w:sz w:val="24"/>
                <w:szCs w:val="24"/>
              </w:rPr>
              <w:t>kongestię drogową;</w:t>
            </w:r>
          </w:p>
          <w:p w14:paraId="363F622A" w14:textId="5F558051" w:rsidR="00CA6716" w:rsidRPr="00FA0FC6" w:rsidRDefault="00CA6716" w:rsidP="003B23B5">
            <w:pPr>
              <w:numPr>
                <w:ilvl w:val="0"/>
                <w:numId w:val="10"/>
              </w:numPr>
              <w:spacing w:after="0"/>
              <w:ind w:left="786"/>
              <w:rPr>
                <w:rFonts w:cstheme="minorHAnsi"/>
                <w:sz w:val="24"/>
                <w:szCs w:val="24"/>
              </w:rPr>
            </w:pPr>
            <w:r w:rsidRPr="00FA0FC6">
              <w:rPr>
                <w:rFonts w:cstheme="minorHAnsi"/>
                <w:sz w:val="24"/>
                <w:szCs w:val="24"/>
              </w:rPr>
              <w:t>bezpieczeństwo ruchu drogowego, w tym niechronionych użytkowników dróg</w:t>
            </w:r>
            <w:r>
              <w:rPr>
                <w:rFonts w:cstheme="minorHAnsi"/>
                <w:sz w:val="24"/>
                <w:szCs w:val="24"/>
              </w:rPr>
              <w:t>.</w:t>
            </w:r>
          </w:p>
          <w:p w14:paraId="38A5B5BB" w14:textId="7098714C" w:rsidR="00CA6716" w:rsidRDefault="00CA6716" w:rsidP="003B23B5">
            <w:pPr>
              <w:numPr>
                <w:ilvl w:val="0"/>
                <w:numId w:val="9"/>
              </w:numPr>
              <w:spacing w:after="0"/>
              <w:ind w:left="361"/>
              <w:rPr>
                <w:rFonts w:cstheme="minorHAnsi"/>
                <w:sz w:val="24"/>
                <w:szCs w:val="24"/>
              </w:rPr>
            </w:pPr>
            <w:r w:rsidRPr="00FA0FC6">
              <w:rPr>
                <w:rFonts w:cstheme="minorHAnsi"/>
                <w:sz w:val="24"/>
                <w:szCs w:val="24"/>
              </w:rPr>
              <w:t>Określa środki wykonawcze lub pakiety środków wykonawczych, które zapewnią  realizację założonych celów (poprzez działania inwestycyjne, regulacyjne, organizacyjne, finansowe, promocyjno-informacyjne itd.) – w oparciu o przyjęty harmonogram wdrażania, plan finansowy oraz wyznaczenie odpowiedzialnych jednostek</w:t>
            </w:r>
            <w:r>
              <w:rPr>
                <w:rFonts w:cstheme="minorHAnsi"/>
                <w:sz w:val="24"/>
                <w:szCs w:val="24"/>
              </w:rPr>
              <w:t>.</w:t>
            </w:r>
          </w:p>
          <w:p w14:paraId="305D7760" w14:textId="0905B7E7" w:rsidR="00CA6716" w:rsidRPr="000324C1" w:rsidRDefault="00CA6716" w:rsidP="000324C1">
            <w:pPr>
              <w:numPr>
                <w:ilvl w:val="0"/>
                <w:numId w:val="9"/>
              </w:numPr>
              <w:spacing w:after="0"/>
              <w:ind w:left="361"/>
              <w:rPr>
                <w:rFonts w:cstheme="minorHAnsi"/>
                <w:sz w:val="24"/>
                <w:szCs w:val="24"/>
              </w:rPr>
            </w:pPr>
            <w:r w:rsidRPr="000324C1">
              <w:rPr>
                <w:rFonts w:cstheme="minorHAnsi"/>
                <w:sz w:val="24"/>
                <w:szCs w:val="24"/>
              </w:rPr>
              <w:t>Realizacja SUMP podlega okresowemu monitorowaniu i rewizji/aktualizacji przez wyznaczoną do tego jednostkę.</w:t>
            </w:r>
          </w:p>
          <w:p w14:paraId="6652582B" w14:textId="7480ECEE" w:rsidR="00CA6716" w:rsidRPr="00FA0FC6" w:rsidRDefault="00CA6716" w:rsidP="008B6D8F">
            <w:pPr>
              <w:autoSpaceDE w:val="0"/>
              <w:autoSpaceDN w:val="0"/>
              <w:adjustRightInd w:val="0"/>
              <w:spacing w:after="120"/>
              <w:rPr>
                <w:rFonts w:cstheme="minorHAnsi"/>
                <w:sz w:val="24"/>
                <w:szCs w:val="24"/>
                <w:lang w:eastAsia="pl-PL"/>
              </w:rPr>
            </w:pPr>
            <w:r>
              <w:rPr>
                <w:rFonts w:cstheme="minorHAnsi"/>
                <w:sz w:val="24"/>
                <w:szCs w:val="24"/>
              </w:rPr>
              <w:t>Kryterium weryfikowane na podstawie zapisów wniosku o dofinansowanie i załączników i/lub wyjaśnień udzielonych przez Wnioskodawcę</w:t>
            </w:r>
            <w:r w:rsidRPr="00D14ED5">
              <w:rPr>
                <w:rFonts w:ascii="Calibri" w:hAnsi="Calibri" w:cs="Calibri"/>
                <w:sz w:val="24"/>
                <w:szCs w:val="24"/>
              </w:rPr>
              <w:t>.</w:t>
            </w:r>
          </w:p>
          <w:p w14:paraId="69338FD8" w14:textId="110E65FE" w:rsidR="00CA6716" w:rsidRPr="008B6D8F" w:rsidRDefault="00CA6716" w:rsidP="003B23B5">
            <w:pPr>
              <w:widowControl w:val="0"/>
              <w:spacing w:after="0"/>
              <w:rPr>
                <w:rFonts w:ascii="Calibri" w:eastAsia="SimSun" w:hAnsi="Calibri" w:cs="Arial"/>
                <w:color w:val="0563C1" w:themeColor="hyperlink"/>
                <w:kern w:val="2"/>
                <w:sz w:val="24"/>
                <w:szCs w:val="24"/>
                <w:u w:val="single"/>
                <w:lang w:eastAsia="hi-IN" w:bidi="hi-IN"/>
              </w:rPr>
            </w:pPr>
            <w:r w:rsidRPr="00FA0FC6">
              <w:rPr>
                <w:rFonts w:cstheme="minorHAnsi"/>
                <w:sz w:val="24"/>
                <w:szCs w:val="24"/>
                <w:lang w:eastAsia="pl-PL"/>
              </w:rPr>
              <w:lastRenderedPageBreak/>
              <w:t>Kryterium uznaje się za spełnione, jeżeli opracowanie SUMP dokonane zostanie zgodnie z 8 zasadami SUMP wskazanymi w Wytycznych dotyczący</w:t>
            </w:r>
            <w:r>
              <w:rPr>
                <w:rFonts w:cstheme="minorHAnsi"/>
                <w:sz w:val="24"/>
                <w:szCs w:val="24"/>
                <w:lang w:eastAsia="pl-PL"/>
              </w:rPr>
              <w:t>ch</w:t>
            </w:r>
            <w:r w:rsidRPr="00FA0FC6">
              <w:rPr>
                <w:rFonts w:cstheme="minorHAnsi"/>
                <w:sz w:val="24"/>
                <w:szCs w:val="24"/>
                <w:lang w:eastAsia="pl-PL"/>
              </w:rPr>
              <w:t xml:space="preserve"> opracowania i wdrożenia planu zrównoważonej mobilności w miastach - edycja druga</w:t>
            </w:r>
            <w:r>
              <w:rPr>
                <w:rFonts w:cstheme="minorHAnsi"/>
                <w:sz w:val="24"/>
                <w:szCs w:val="24"/>
                <w:lang w:eastAsia="pl-PL"/>
              </w:rPr>
              <w:t xml:space="preserve">. </w:t>
            </w:r>
            <w:hyperlink r:id="rId12" w:history="1">
              <w:r w:rsidRPr="00A34B45">
                <w:rPr>
                  <w:rStyle w:val="Hipercze"/>
                  <w:rFonts w:ascii="Calibri" w:eastAsia="SimSun" w:hAnsi="Calibri" w:cs="Arial"/>
                  <w:color w:val="000000" w:themeColor="text1"/>
                  <w:kern w:val="2"/>
                  <w:sz w:val="24"/>
                  <w:szCs w:val="24"/>
                  <w:lang w:eastAsia="hi-IN" w:bidi="hi-IN"/>
                </w:rPr>
                <w:t>https://www.eltis.org/sites/default/files/sump_guidelines_2019_interactive_document_1.pdf</w:t>
              </w:r>
            </w:hyperlink>
            <w:r w:rsidRPr="00A34B45">
              <w:rPr>
                <w:rStyle w:val="Hipercze"/>
                <w:rFonts w:ascii="Calibri" w:eastAsia="SimSun" w:hAnsi="Calibri" w:cs="Arial"/>
                <w:color w:val="000000" w:themeColor="text1"/>
                <w:kern w:val="2"/>
                <w:sz w:val="24"/>
                <w:szCs w:val="24"/>
                <w:lang w:eastAsia="hi-IN" w:bidi="hi-IN"/>
              </w:rPr>
              <w:t>.</w:t>
            </w:r>
          </w:p>
        </w:tc>
        <w:tc>
          <w:tcPr>
            <w:tcW w:w="3119" w:type="dxa"/>
            <w:tcBorders>
              <w:left w:val="single" w:sz="4" w:space="0" w:color="92D050"/>
              <w:bottom w:val="single" w:sz="4" w:space="0" w:color="92D050"/>
              <w:right w:val="single" w:sz="4" w:space="0" w:color="92D050"/>
            </w:tcBorders>
            <w:vAlign w:val="center"/>
          </w:tcPr>
          <w:p w14:paraId="7A223C08" w14:textId="77777777" w:rsidR="00CA6716" w:rsidRDefault="00CA6716" w:rsidP="008B6D8F">
            <w:pPr>
              <w:widowControl w:val="0"/>
              <w:spacing w:after="0"/>
              <w:rPr>
                <w:rFonts w:cstheme="minorHAnsi"/>
                <w:sz w:val="24"/>
                <w:szCs w:val="24"/>
              </w:rPr>
            </w:pPr>
            <w:r>
              <w:rPr>
                <w:rFonts w:cstheme="minorHAnsi"/>
                <w:sz w:val="24"/>
                <w:szCs w:val="24"/>
              </w:rPr>
              <w:lastRenderedPageBreak/>
              <w:t>Kryterium bezwzględne (0/1)</w:t>
            </w:r>
          </w:p>
        </w:tc>
      </w:tr>
      <w:tr w:rsidR="00CA6716" w14:paraId="1338C025" w14:textId="42F9E6BF" w:rsidTr="00A34B45">
        <w:trPr>
          <w:trHeight w:val="2303"/>
        </w:trPr>
        <w:tc>
          <w:tcPr>
            <w:tcW w:w="567" w:type="dxa"/>
            <w:tcBorders>
              <w:left w:val="single" w:sz="4" w:space="0" w:color="92D050"/>
              <w:bottom w:val="single" w:sz="4" w:space="0" w:color="92D050"/>
              <w:right w:val="single" w:sz="4" w:space="0" w:color="92D050"/>
            </w:tcBorders>
            <w:vAlign w:val="center"/>
          </w:tcPr>
          <w:p w14:paraId="7A7A0105" w14:textId="45BEB8CB" w:rsidR="00CA6716" w:rsidRPr="00F872BD" w:rsidRDefault="00CA6716" w:rsidP="008B6D8F">
            <w:pPr>
              <w:widowControl w:val="0"/>
              <w:spacing w:after="0"/>
              <w:rPr>
                <w:rFonts w:cstheme="minorHAnsi"/>
                <w:sz w:val="24"/>
                <w:szCs w:val="24"/>
                <w:highlight w:val="yellow"/>
              </w:rPr>
            </w:pPr>
            <w:r>
              <w:rPr>
                <w:rFonts w:cs="Calibri"/>
                <w:sz w:val="24"/>
                <w:szCs w:val="24"/>
              </w:rPr>
              <w:lastRenderedPageBreak/>
              <w:t>3</w:t>
            </w:r>
            <w:r w:rsidRPr="00F872BD">
              <w:rPr>
                <w:rFonts w:cs="Calibri"/>
                <w:sz w:val="24"/>
                <w:szCs w:val="24"/>
              </w:rPr>
              <w:t>.</w:t>
            </w:r>
          </w:p>
        </w:tc>
        <w:tc>
          <w:tcPr>
            <w:tcW w:w="2693" w:type="dxa"/>
            <w:tcBorders>
              <w:left w:val="single" w:sz="4" w:space="0" w:color="92D050"/>
              <w:bottom w:val="single" w:sz="4" w:space="0" w:color="92D050"/>
              <w:right w:val="single" w:sz="4" w:space="0" w:color="92D050"/>
            </w:tcBorders>
            <w:vAlign w:val="center"/>
          </w:tcPr>
          <w:p w14:paraId="358622F0" w14:textId="77777777" w:rsidR="00CA6716" w:rsidRPr="00F872BD" w:rsidRDefault="00CA6716" w:rsidP="008B6D8F">
            <w:pPr>
              <w:spacing w:after="0"/>
              <w:rPr>
                <w:rFonts w:ascii="Calibri" w:eastAsia="SimSun" w:hAnsi="Calibri" w:cs="Arial"/>
                <w:kern w:val="2"/>
                <w:sz w:val="24"/>
                <w:szCs w:val="24"/>
                <w:lang w:eastAsia="hi-IN" w:bidi="hi-IN"/>
              </w:rPr>
            </w:pPr>
            <w:r w:rsidRPr="00F872BD">
              <w:rPr>
                <w:rFonts w:ascii="Calibri" w:eastAsia="SimSun" w:hAnsi="Calibri" w:cs="Arial"/>
                <w:kern w:val="2"/>
                <w:sz w:val="24"/>
                <w:szCs w:val="24"/>
                <w:lang w:eastAsia="hi-IN" w:bidi="hi-IN"/>
              </w:rPr>
              <w:t xml:space="preserve">Zgodność SUMP </w:t>
            </w:r>
            <w:r w:rsidRPr="00F872BD">
              <w:rPr>
                <w:rFonts w:ascii="Calibri" w:eastAsia="SimSun" w:hAnsi="Calibri" w:cs="Arial"/>
                <w:kern w:val="2"/>
                <w:sz w:val="24"/>
                <w:szCs w:val="24"/>
                <w:lang w:eastAsia="hi-IN" w:bidi="hi-IN"/>
              </w:rPr>
              <w:br/>
              <w:t>z Rozporządzeniem Parlamentu Europejskiego i Rady (UE) nr 1315/2013 z dnia 11 grudnia 2013 r. w sprawie unijnych wytycznych dotyczących rozwoju transeuropejskiej sieci transportowej i uchylające decyzję nr 661/2010/UE Tekst mający znaczenie dla EOG.</w:t>
            </w:r>
          </w:p>
        </w:tc>
        <w:tc>
          <w:tcPr>
            <w:tcW w:w="9781" w:type="dxa"/>
            <w:tcBorders>
              <w:left w:val="single" w:sz="4" w:space="0" w:color="92D050"/>
              <w:bottom w:val="single" w:sz="4" w:space="0" w:color="92D050"/>
              <w:right w:val="single" w:sz="4" w:space="0" w:color="92D050"/>
            </w:tcBorders>
            <w:vAlign w:val="center"/>
          </w:tcPr>
          <w:p w14:paraId="75F7306B" w14:textId="2AC08195" w:rsidR="00CA6716" w:rsidRPr="004344D4" w:rsidRDefault="00CA6716" w:rsidP="008B6D8F">
            <w:pPr>
              <w:autoSpaceDE w:val="0"/>
              <w:autoSpaceDN w:val="0"/>
              <w:adjustRightInd w:val="0"/>
              <w:spacing w:after="0"/>
              <w:rPr>
                <w:rFonts w:ascii="Calibri" w:hAnsi="Calibri" w:cs="Calibri"/>
                <w:sz w:val="24"/>
                <w:szCs w:val="24"/>
                <w:lang w:eastAsia="pl-PL"/>
              </w:rPr>
            </w:pPr>
            <w:r w:rsidRPr="004344D4">
              <w:rPr>
                <w:rFonts w:ascii="Calibri" w:hAnsi="Calibri" w:cs="Calibri"/>
                <w:sz w:val="24"/>
                <w:szCs w:val="24"/>
                <w:lang w:eastAsia="pl-PL"/>
              </w:rPr>
              <w:t xml:space="preserve">Kryterium weryfikuje, czy opracowanie SUMP dokonane zostanie zgodnie z Rozporządzeniem Parlamentu Europejskiego i Rady (UE) nr 1315/2013 z dnia 11 grudnia 2013 r. w sprawie unijnych wytycznych dotyczących rozwoju transeuropejskiej sieci transportowej i uchylające decyzję nr 661/2010/UE Tekst mający znaczenie dla EOG. </w:t>
            </w:r>
          </w:p>
          <w:p w14:paraId="270973E8" w14:textId="338E1983" w:rsidR="00CA6716" w:rsidRPr="004344D4" w:rsidRDefault="00CA6716" w:rsidP="008B6D8F">
            <w:pPr>
              <w:autoSpaceDE w:val="0"/>
              <w:autoSpaceDN w:val="0"/>
              <w:adjustRightInd w:val="0"/>
              <w:spacing w:after="120"/>
              <w:rPr>
                <w:rFonts w:ascii="Calibri" w:hAnsi="Calibri" w:cs="Calibri"/>
                <w:sz w:val="24"/>
                <w:szCs w:val="24"/>
                <w:lang w:eastAsia="pl-PL"/>
              </w:rPr>
            </w:pPr>
            <w:r w:rsidRPr="29E9A49B">
              <w:rPr>
                <w:rFonts w:ascii="Calibri" w:hAnsi="Calibri" w:cs="Calibri"/>
                <w:sz w:val="24"/>
                <w:szCs w:val="24"/>
                <w:lang w:eastAsia="pl-PL"/>
              </w:rPr>
              <w:t>Zgodnie z ww. Rozporządzeniem SUMP powinien obejmować</w:t>
            </w:r>
            <w:r>
              <w:rPr>
                <w:rFonts w:ascii="Calibri" w:hAnsi="Calibri" w:cs="Calibri"/>
                <w:sz w:val="24"/>
                <w:szCs w:val="24"/>
                <w:lang w:eastAsia="pl-PL"/>
              </w:rPr>
              <w:t xml:space="preserve"> m.in.</w:t>
            </w:r>
            <w:r w:rsidRPr="29E9A49B">
              <w:rPr>
                <w:rFonts w:ascii="Calibri" w:hAnsi="Calibri" w:cs="Calibri"/>
                <w:sz w:val="24"/>
                <w:szCs w:val="24"/>
                <w:lang w:eastAsia="pl-PL"/>
              </w:rPr>
              <w:t>:</w:t>
            </w:r>
          </w:p>
          <w:p w14:paraId="30B048A6" w14:textId="77777777" w:rsidR="00CA6716" w:rsidRPr="004344D4" w:rsidRDefault="00CA6716" w:rsidP="008B6D8F">
            <w:pPr>
              <w:numPr>
                <w:ilvl w:val="0"/>
                <w:numId w:val="11"/>
              </w:numPr>
              <w:suppressAutoHyphens w:val="0"/>
              <w:autoSpaceDE w:val="0"/>
              <w:autoSpaceDN w:val="0"/>
              <w:adjustRightInd w:val="0"/>
              <w:spacing w:after="60" w:line="240" w:lineRule="auto"/>
              <w:ind w:left="322" w:hanging="322"/>
              <w:rPr>
                <w:rFonts w:ascii="Calibri" w:hAnsi="Calibri" w:cs="Calibri"/>
                <w:sz w:val="24"/>
                <w:szCs w:val="24"/>
                <w:lang w:eastAsia="pl-PL"/>
              </w:rPr>
            </w:pPr>
            <w:r w:rsidRPr="004344D4">
              <w:rPr>
                <w:rFonts w:ascii="Calibri" w:hAnsi="Calibri" w:cs="Calibri"/>
                <w:sz w:val="24"/>
                <w:szCs w:val="24"/>
                <w:lang w:eastAsia="pl-PL"/>
              </w:rPr>
              <w:t>dostępność infrastruktury służącej do tankowania i ładowania paliw alternatywnych,</w:t>
            </w:r>
          </w:p>
          <w:p w14:paraId="75DFD913" w14:textId="77777777" w:rsidR="00CA6716" w:rsidRPr="004344D4" w:rsidRDefault="00CA6716" w:rsidP="008B6D8F">
            <w:pPr>
              <w:numPr>
                <w:ilvl w:val="0"/>
                <w:numId w:val="11"/>
              </w:numPr>
              <w:suppressAutoHyphens w:val="0"/>
              <w:autoSpaceDE w:val="0"/>
              <w:autoSpaceDN w:val="0"/>
              <w:adjustRightInd w:val="0"/>
              <w:spacing w:after="60" w:line="240" w:lineRule="auto"/>
              <w:ind w:left="322" w:hanging="322"/>
              <w:rPr>
                <w:rFonts w:ascii="Calibri" w:hAnsi="Calibri" w:cs="Calibri"/>
                <w:sz w:val="24"/>
                <w:szCs w:val="24"/>
                <w:lang w:eastAsia="pl-PL"/>
              </w:rPr>
            </w:pPr>
            <w:r w:rsidRPr="004344D4">
              <w:rPr>
                <w:rFonts w:ascii="Calibri" w:hAnsi="Calibri" w:cs="Calibri"/>
                <w:sz w:val="24"/>
                <w:szCs w:val="24"/>
                <w:lang w:eastAsia="pl-PL"/>
              </w:rPr>
              <w:t xml:space="preserve">środki mające na celu integrację różnych rodzajów transportu, </w:t>
            </w:r>
          </w:p>
          <w:p w14:paraId="2797A6C3" w14:textId="77777777" w:rsidR="00CA6716" w:rsidRPr="004344D4" w:rsidRDefault="00CA6716" w:rsidP="008B6D8F">
            <w:pPr>
              <w:numPr>
                <w:ilvl w:val="0"/>
                <w:numId w:val="11"/>
              </w:numPr>
              <w:suppressAutoHyphens w:val="0"/>
              <w:autoSpaceDE w:val="0"/>
              <w:autoSpaceDN w:val="0"/>
              <w:adjustRightInd w:val="0"/>
              <w:spacing w:after="60" w:line="240" w:lineRule="auto"/>
              <w:ind w:left="322" w:hanging="322"/>
              <w:rPr>
                <w:rFonts w:ascii="Calibri" w:hAnsi="Calibri" w:cs="Calibri"/>
                <w:sz w:val="24"/>
                <w:szCs w:val="24"/>
                <w:lang w:eastAsia="pl-PL"/>
              </w:rPr>
            </w:pPr>
            <w:r w:rsidRPr="004344D4">
              <w:rPr>
                <w:rFonts w:ascii="Calibri" w:hAnsi="Calibri" w:cs="Calibri"/>
                <w:sz w:val="24"/>
                <w:szCs w:val="24"/>
                <w:lang w:eastAsia="pl-PL"/>
              </w:rPr>
              <w:t>wdrożenie i stosowanie aplikacji telematycznych,</w:t>
            </w:r>
          </w:p>
          <w:p w14:paraId="7FE5603A" w14:textId="77777777" w:rsidR="00CA6716" w:rsidRPr="004344D4" w:rsidRDefault="00CA6716" w:rsidP="008B6D8F">
            <w:pPr>
              <w:numPr>
                <w:ilvl w:val="0"/>
                <w:numId w:val="11"/>
              </w:numPr>
              <w:suppressAutoHyphens w:val="0"/>
              <w:autoSpaceDE w:val="0"/>
              <w:autoSpaceDN w:val="0"/>
              <w:adjustRightInd w:val="0"/>
              <w:spacing w:after="60" w:line="240" w:lineRule="auto"/>
              <w:ind w:left="322" w:hanging="322"/>
              <w:rPr>
                <w:rFonts w:ascii="Calibri" w:hAnsi="Calibri" w:cs="Calibri"/>
                <w:sz w:val="24"/>
                <w:szCs w:val="24"/>
                <w:lang w:eastAsia="pl-PL"/>
              </w:rPr>
            </w:pPr>
            <w:r w:rsidRPr="004344D4">
              <w:rPr>
                <w:rFonts w:ascii="Calibri" w:hAnsi="Calibri" w:cs="Calibri"/>
                <w:sz w:val="24"/>
                <w:szCs w:val="24"/>
                <w:lang w:eastAsia="pl-PL"/>
              </w:rPr>
              <w:t xml:space="preserve">promowanie skutecznej mobilności bezemisyjnej, w tym zrównoważonej i bezemisyjnej logistyki miejskiej, </w:t>
            </w:r>
          </w:p>
          <w:p w14:paraId="1DA985A9" w14:textId="0C080FD4" w:rsidR="00CA6716" w:rsidRPr="004344D4" w:rsidRDefault="00CA6716" w:rsidP="008B6D8F">
            <w:pPr>
              <w:numPr>
                <w:ilvl w:val="0"/>
                <w:numId w:val="11"/>
              </w:numPr>
              <w:autoSpaceDE w:val="0"/>
              <w:autoSpaceDN w:val="0"/>
              <w:adjustRightInd w:val="0"/>
              <w:spacing w:after="60" w:line="240" w:lineRule="auto"/>
              <w:ind w:left="323" w:hanging="323"/>
              <w:rPr>
                <w:rFonts w:ascii="Calibri" w:hAnsi="Calibri" w:cs="Calibri"/>
                <w:sz w:val="24"/>
                <w:szCs w:val="24"/>
                <w:lang w:eastAsia="pl-PL"/>
              </w:rPr>
            </w:pPr>
            <w:r w:rsidRPr="004344D4">
              <w:rPr>
                <w:rFonts w:ascii="Calibri" w:hAnsi="Calibri" w:cs="Calibri"/>
                <w:sz w:val="24"/>
                <w:szCs w:val="24"/>
                <w:lang w:eastAsia="pl-PL"/>
              </w:rPr>
              <w:t>zmniejszenie zanieczyszczenia powietrz</w:t>
            </w:r>
            <w:r>
              <w:rPr>
                <w:rFonts w:ascii="Calibri" w:hAnsi="Calibri" w:cs="Calibri"/>
                <w:sz w:val="24"/>
                <w:szCs w:val="24"/>
                <w:lang w:eastAsia="pl-PL"/>
              </w:rPr>
              <w:t>a i zanieczyszczenia hałasem, po</w:t>
            </w:r>
            <w:r w:rsidRPr="004344D4">
              <w:rPr>
                <w:rFonts w:ascii="Calibri" w:hAnsi="Calibri" w:cs="Calibri"/>
                <w:sz w:val="24"/>
                <w:szCs w:val="24"/>
                <w:lang w:eastAsia="pl-PL"/>
              </w:rPr>
              <w:t>prawa lub utrzymanie jakości infrastruktury pod względem bezpieczeństwa dostępności dla wszystkich użytkowników, w tym dla osób starszych, osób o ograniczonej sprawności ruchowej i</w:t>
            </w:r>
            <w:r w:rsidR="00A34B45">
              <w:rPr>
                <w:rFonts w:ascii="Calibri" w:hAnsi="Calibri" w:cs="Calibri"/>
                <w:sz w:val="24"/>
                <w:szCs w:val="24"/>
                <w:lang w:eastAsia="pl-PL"/>
              </w:rPr>
              <w:t> </w:t>
            </w:r>
            <w:r w:rsidRPr="004344D4">
              <w:rPr>
                <w:rFonts w:ascii="Calibri" w:hAnsi="Calibri" w:cs="Calibri"/>
                <w:sz w:val="24"/>
                <w:szCs w:val="24"/>
                <w:lang w:eastAsia="pl-PL"/>
              </w:rPr>
              <w:t>pasażerów niepełnosprawnych, a także zapewnienia jakości usług</w:t>
            </w:r>
            <w:r>
              <w:rPr>
                <w:rFonts w:ascii="Calibri" w:hAnsi="Calibri" w:cs="Calibri"/>
                <w:sz w:val="24"/>
                <w:szCs w:val="24"/>
                <w:lang w:eastAsia="pl-PL"/>
              </w:rPr>
              <w:t>,</w:t>
            </w:r>
          </w:p>
          <w:p w14:paraId="0B797027" w14:textId="77777777" w:rsidR="00CA6716" w:rsidRPr="004344D4" w:rsidRDefault="00CA6716" w:rsidP="008B6D8F">
            <w:pPr>
              <w:numPr>
                <w:ilvl w:val="0"/>
                <w:numId w:val="11"/>
              </w:numPr>
              <w:suppressAutoHyphens w:val="0"/>
              <w:autoSpaceDE w:val="0"/>
              <w:autoSpaceDN w:val="0"/>
              <w:adjustRightInd w:val="0"/>
              <w:spacing w:after="60" w:line="240" w:lineRule="auto"/>
              <w:ind w:left="322" w:hanging="322"/>
              <w:rPr>
                <w:rFonts w:ascii="Calibri" w:hAnsi="Calibri" w:cs="Calibri"/>
                <w:sz w:val="24"/>
                <w:szCs w:val="24"/>
                <w:lang w:eastAsia="pl-PL"/>
              </w:rPr>
            </w:pPr>
            <w:r w:rsidRPr="004344D4">
              <w:rPr>
                <w:rFonts w:ascii="Calibri" w:hAnsi="Calibri" w:cs="Calibri"/>
                <w:sz w:val="24"/>
                <w:szCs w:val="24"/>
                <w:lang w:eastAsia="pl-PL"/>
              </w:rPr>
              <w:t>uwzględnienie transeuropejskich dalekobieżnych przepływów transportowych,</w:t>
            </w:r>
          </w:p>
          <w:p w14:paraId="2A9636B6" w14:textId="083CCE9C" w:rsidR="00CA6716" w:rsidRPr="004344D4" w:rsidRDefault="00CA6716" w:rsidP="00482E9F">
            <w:pPr>
              <w:suppressAutoHyphens w:val="0"/>
              <w:autoSpaceDE w:val="0"/>
              <w:autoSpaceDN w:val="0"/>
              <w:adjustRightInd w:val="0"/>
              <w:spacing w:after="120" w:line="240" w:lineRule="auto"/>
              <w:ind w:left="323"/>
              <w:rPr>
                <w:rFonts w:ascii="Calibri" w:hAnsi="Calibri" w:cs="Calibri"/>
                <w:sz w:val="24"/>
                <w:szCs w:val="24"/>
                <w:lang w:eastAsia="pl-PL"/>
              </w:rPr>
            </w:pPr>
            <w:r w:rsidRPr="29E9A49B">
              <w:rPr>
                <w:rFonts w:ascii="Calibri" w:hAnsi="Calibri" w:cs="Calibri"/>
                <w:sz w:val="24"/>
                <w:szCs w:val="24"/>
                <w:lang w:eastAsia="pl-PL"/>
              </w:rPr>
              <w:t xml:space="preserve">działania zmniejszające narażenie obszarów miejskich na negatywny wpływ transportu kolejowego i drogowego. </w:t>
            </w:r>
          </w:p>
          <w:p w14:paraId="69793289" w14:textId="706B7ABE" w:rsidR="00CA6716" w:rsidRDefault="00CA6716" w:rsidP="008B6D8F">
            <w:pPr>
              <w:autoSpaceDE w:val="0"/>
              <w:autoSpaceDN w:val="0"/>
              <w:adjustRightInd w:val="0"/>
              <w:spacing w:after="120"/>
              <w:rPr>
                <w:rFonts w:ascii="Calibri" w:hAnsi="Calibri" w:cs="Calibri"/>
                <w:sz w:val="24"/>
                <w:szCs w:val="24"/>
                <w:lang w:eastAsia="pl-PL"/>
              </w:rPr>
            </w:pPr>
            <w:r>
              <w:rPr>
                <w:rFonts w:cstheme="minorHAnsi"/>
                <w:sz w:val="24"/>
                <w:szCs w:val="24"/>
              </w:rPr>
              <w:lastRenderedPageBreak/>
              <w:t>Kryterium weryfikowane na podstawie zapisów wniosku o dofinansowanie i załączników i/lub wyjaśnień udzielonych przez Wnioskodawcę</w:t>
            </w:r>
            <w:r w:rsidRPr="00D14ED5">
              <w:rPr>
                <w:rFonts w:ascii="Calibri" w:hAnsi="Calibri" w:cs="Calibri"/>
                <w:sz w:val="24"/>
                <w:szCs w:val="24"/>
              </w:rPr>
              <w:t>.</w:t>
            </w:r>
          </w:p>
          <w:p w14:paraId="6994ACA6" w14:textId="2CBCF895" w:rsidR="00CA6716" w:rsidRPr="005B424A" w:rsidRDefault="00CA6716" w:rsidP="00482E9F">
            <w:pPr>
              <w:autoSpaceDE w:val="0"/>
              <w:autoSpaceDN w:val="0"/>
              <w:adjustRightInd w:val="0"/>
              <w:spacing w:after="120"/>
              <w:rPr>
                <w:rFonts w:ascii="Calibri" w:hAnsi="Calibri" w:cs="Calibri"/>
                <w:sz w:val="24"/>
                <w:szCs w:val="24"/>
                <w:lang w:eastAsia="pl-PL"/>
              </w:rPr>
            </w:pPr>
            <w:r w:rsidRPr="004344D4">
              <w:rPr>
                <w:rFonts w:ascii="Calibri" w:hAnsi="Calibri" w:cs="Calibri"/>
                <w:sz w:val="24"/>
                <w:szCs w:val="24"/>
                <w:lang w:eastAsia="pl-PL"/>
              </w:rPr>
              <w:t>Kryterium uznaje się za spełnione, jeżeli opracowanie SUMP dokonane zostanie zgodnie z</w:t>
            </w:r>
            <w:r w:rsidR="00A34B45">
              <w:rPr>
                <w:rFonts w:ascii="Calibri" w:hAnsi="Calibri" w:cs="Calibri"/>
                <w:sz w:val="24"/>
                <w:szCs w:val="24"/>
                <w:lang w:eastAsia="pl-PL"/>
              </w:rPr>
              <w:t> </w:t>
            </w:r>
            <w:r w:rsidRPr="004344D4">
              <w:rPr>
                <w:rFonts w:ascii="Calibri" w:hAnsi="Calibri" w:cs="Calibri"/>
                <w:sz w:val="24"/>
                <w:szCs w:val="24"/>
                <w:lang w:eastAsia="pl-PL"/>
              </w:rPr>
              <w:t>Rozporządzeniem Parlamentu Europejskiego i Rady (UE) nr 1315/2013 z dnia 11 grudnia 2013 r. w sprawie unijnych wytycznych dotyczących rozwoju transeuropejskiej sieci transportowej i uchylające decyzję nr 661/2010/UE Tekst mający znaczenie dla EOG.</w:t>
            </w:r>
            <w:r>
              <w:rPr>
                <w:rFonts w:ascii="Calibri" w:hAnsi="Calibri" w:cs="Calibri"/>
                <w:sz w:val="24"/>
                <w:szCs w:val="24"/>
                <w:lang w:eastAsia="pl-PL"/>
              </w:rPr>
              <w:t xml:space="preserve"> </w:t>
            </w:r>
            <w:hyperlink r:id="rId13" w:history="1">
              <w:r w:rsidRPr="00500CA1">
                <w:rPr>
                  <w:rStyle w:val="Hipercze"/>
                  <w:color w:val="000000" w:themeColor="text1"/>
                  <w:sz w:val="24"/>
                  <w:szCs w:val="24"/>
                </w:rPr>
                <w:t>http://publications.europa.eu/resource/cellar/f277232a-699e-11e3-8e4e-01aa75ed71a1.0019.01/DOC_1</w:t>
              </w:r>
            </w:hyperlink>
          </w:p>
        </w:tc>
        <w:tc>
          <w:tcPr>
            <w:tcW w:w="3119" w:type="dxa"/>
            <w:tcBorders>
              <w:left w:val="single" w:sz="4" w:space="0" w:color="92D050"/>
              <w:bottom w:val="single" w:sz="4" w:space="0" w:color="92D050"/>
              <w:right w:val="single" w:sz="4" w:space="0" w:color="92D050"/>
            </w:tcBorders>
            <w:vAlign w:val="center"/>
          </w:tcPr>
          <w:p w14:paraId="07B05851" w14:textId="77777777" w:rsidR="00CA6716" w:rsidRDefault="00CA6716" w:rsidP="008B6D8F">
            <w:pPr>
              <w:widowControl w:val="0"/>
              <w:spacing w:after="0"/>
              <w:rPr>
                <w:rFonts w:cstheme="minorHAnsi"/>
                <w:sz w:val="24"/>
                <w:szCs w:val="24"/>
              </w:rPr>
            </w:pPr>
            <w:r>
              <w:rPr>
                <w:rFonts w:cstheme="minorHAnsi"/>
                <w:sz w:val="24"/>
                <w:szCs w:val="24"/>
              </w:rPr>
              <w:lastRenderedPageBreak/>
              <w:t>Kryterium bezwzględne (0/1)</w:t>
            </w:r>
          </w:p>
        </w:tc>
      </w:tr>
      <w:tr w:rsidR="00CA6716" w14:paraId="171B4E0A" w14:textId="51567FC6" w:rsidTr="00CA6716">
        <w:trPr>
          <w:trHeight w:val="564"/>
        </w:trPr>
        <w:tc>
          <w:tcPr>
            <w:tcW w:w="567" w:type="dxa"/>
            <w:tcBorders>
              <w:left w:val="single" w:sz="4" w:space="0" w:color="92D050"/>
              <w:bottom w:val="single" w:sz="4" w:space="0" w:color="92D050"/>
              <w:right w:val="single" w:sz="4" w:space="0" w:color="92D050"/>
            </w:tcBorders>
            <w:vAlign w:val="center"/>
          </w:tcPr>
          <w:p w14:paraId="0AFFD051" w14:textId="3FC3C8C0" w:rsidR="00CA6716" w:rsidRPr="00F872BD" w:rsidRDefault="00CA6716" w:rsidP="008B6D8F">
            <w:pPr>
              <w:widowControl w:val="0"/>
              <w:spacing w:after="0"/>
              <w:rPr>
                <w:rFonts w:cs="Calibri"/>
                <w:sz w:val="24"/>
                <w:szCs w:val="24"/>
              </w:rPr>
            </w:pPr>
            <w:r>
              <w:rPr>
                <w:rFonts w:cs="Calibri"/>
                <w:sz w:val="24"/>
                <w:szCs w:val="24"/>
              </w:rPr>
              <w:t>4.</w:t>
            </w:r>
          </w:p>
        </w:tc>
        <w:tc>
          <w:tcPr>
            <w:tcW w:w="2693" w:type="dxa"/>
            <w:tcBorders>
              <w:left w:val="single" w:sz="4" w:space="0" w:color="92D050"/>
              <w:bottom w:val="single" w:sz="4" w:space="0" w:color="92D050"/>
              <w:right w:val="single" w:sz="4" w:space="0" w:color="92D050"/>
            </w:tcBorders>
            <w:vAlign w:val="center"/>
          </w:tcPr>
          <w:p w14:paraId="12E76EC6" w14:textId="4DCEA479" w:rsidR="00CA6716" w:rsidRPr="00F872BD" w:rsidRDefault="00CA6716" w:rsidP="008B6D8F">
            <w:pPr>
              <w:spacing w:after="0"/>
              <w:rPr>
                <w:rFonts w:ascii="Calibri" w:eastAsia="SimSun" w:hAnsi="Calibri" w:cs="Arial"/>
                <w:kern w:val="2"/>
                <w:sz w:val="24"/>
                <w:szCs w:val="24"/>
                <w:lang w:eastAsia="hi-IN" w:bidi="hi-IN"/>
              </w:rPr>
            </w:pPr>
            <w:r>
              <w:rPr>
                <w:rFonts w:ascii="Calibri" w:eastAsia="SimSun" w:hAnsi="Calibri" w:cs="Arial"/>
                <w:kern w:val="2"/>
                <w:sz w:val="24"/>
                <w:szCs w:val="24"/>
                <w:lang w:eastAsia="hi-IN" w:bidi="hi-IN"/>
              </w:rPr>
              <w:t>Priorytetowy charakter projektu</w:t>
            </w:r>
          </w:p>
        </w:tc>
        <w:tc>
          <w:tcPr>
            <w:tcW w:w="9781" w:type="dxa"/>
            <w:tcBorders>
              <w:left w:val="single" w:sz="4" w:space="0" w:color="92D050"/>
              <w:bottom w:val="single" w:sz="4" w:space="0" w:color="92D050"/>
              <w:right w:val="single" w:sz="4" w:space="0" w:color="92D050"/>
            </w:tcBorders>
            <w:vAlign w:val="center"/>
          </w:tcPr>
          <w:p w14:paraId="70397C0A" w14:textId="40A60F07" w:rsidR="00CA6716" w:rsidRDefault="00CA6716" w:rsidP="00604ADE">
            <w:pPr>
              <w:autoSpaceDE w:val="0"/>
              <w:autoSpaceDN w:val="0"/>
              <w:adjustRightInd w:val="0"/>
              <w:spacing w:after="120"/>
              <w:rPr>
                <w:rFonts w:ascii="Calibri" w:hAnsi="Calibri" w:cs="Calibri"/>
                <w:sz w:val="24"/>
                <w:szCs w:val="24"/>
                <w:lang w:eastAsia="pl-PL"/>
              </w:rPr>
            </w:pPr>
            <w:r>
              <w:rPr>
                <w:rFonts w:ascii="Calibri" w:hAnsi="Calibri" w:cs="Calibri"/>
                <w:sz w:val="24"/>
                <w:szCs w:val="24"/>
                <w:lang w:eastAsia="pl-PL"/>
              </w:rPr>
              <w:t>Projekt polega na realizacji zadań publicznych mających strategiczne znaczenie dla społeczno-gospodarczego rozwoju obszaru objętego realizacją ZIT.</w:t>
            </w:r>
          </w:p>
          <w:p w14:paraId="2518C2F7" w14:textId="6650B113" w:rsidR="00CA6716" w:rsidRDefault="00CA6716" w:rsidP="00604ADE">
            <w:pPr>
              <w:autoSpaceDE w:val="0"/>
              <w:autoSpaceDN w:val="0"/>
              <w:adjustRightInd w:val="0"/>
              <w:spacing w:after="120"/>
              <w:rPr>
                <w:rFonts w:ascii="Calibri" w:hAnsi="Calibri" w:cs="Calibri"/>
                <w:sz w:val="24"/>
                <w:szCs w:val="24"/>
                <w:lang w:eastAsia="pl-PL"/>
              </w:rPr>
            </w:pPr>
            <w:r>
              <w:rPr>
                <w:rFonts w:ascii="Calibri" w:hAnsi="Calibri" w:cs="Calibri"/>
                <w:sz w:val="24"/>
                <w:szCs w:val="24"/>
                <w:lang w:eastAsia="pl-PL"/>
              </w:rPr>
              <w:t>Ocenie podlega czy projekt został ujęty w przyjętej Strategii ZIT dla obszaru.</w:t>
            </w:r>
          </w:p>
          <w:p w14:paraId="53915002" w14:textId="7EFE2001" w:rsidR="00CA6716" w:rsidRPr="004344D4" w:rsidRDefault="00CA6716" w:rsidP="008B6D8F">
            <w:pPr>
              <w:autoSpaceDE w:val="0"/>
              <w:autoSpaceDN w:val="0"/>
              <w:adjustRightInd w:val="0"/>
              <w:spacing w:after="0"/>
              <w:rPr>
                <w:rFonts w:ascii="Calibri" w:hAnsi="Calibri" w:cs="Calibri"/>
                <w:sz w:val="24"/>
                <w:szCs w:val="24"/>
                <w:lang w:eastAsia="pl-PL"/>
              </w:rPr>
            </w:pPr>
            <w:r>
              <w:rPr>
                <w:rFonts w:cstheme="minorHAnsi"/>
                <w:sz w:val="24"/>
                <w:szCs w:val="24"/>
              </w:rPr>
              <w:t>Kryterium weryfikowane na podstawie zapisów wniosku o dofinansowanie i załączników i/lub wyjaśnień udzielonych przez Wnioskodawcę</w:t>
            </w:r>
            <w:r w:rsidRPr="00D14ED5">
              <w:rPr>
                <w:rFonts w:ascii="Calibri" w:hAnsi="Calibri" w:cs="Calibri"/>
                <w:sz w:val="24"/>
                <w:szCs w:val="24"/>
              </w:rPr>
              <w:t>.</w:t>
            </w:r>
          </w:p>
        </w:tc>
        <w:tc>
          <w:tcPr>
            <w:tcW w:w="3119" w:type="dxa"/>
            <w:tcBorders>
              <w:left w:val="single" w:sz="4" w:space="0" w:color="92D050"/>
              <w:bottom w:val="single" w:sz="4" w:space="0" w:color="92D050"/>
              <w:right w:val="single" w:sz="4" w:space="0" w:color="92D050"/>
            </w:tcBorders>
            <w:vAlign w:val="center"/>
          </w:tcPr>
          <w:p w14:paraId="08B751C5" w14:textId="4E834042" w:rsidR="00CA6716" w:rsidRDefault="00CA6716" w:rsidP="008B6D8F">
            <w:pPr>
              <w:widowControl w:val="0"/>
              <w:spacing w:after="0"/>
              <w:rPr>
                <w:rFonts w:cstheme="minorHAnsi"/>
                <w:sz w:val="24"/>
                <w:szCs w:val="24"/>
              </w:rPr>
            </w:pPr>
            <w:r>
              <w:rPr>
                <w:rFonts w:cstheme="minorHAnsi"/>
                <w:sz w:val="24"/>
                <w:szCs w:val="24"/>
              </w:rPr>
              <w:t>Kryterium bezwzględne (0/1)</w:t>
            </w:r>
          </w:p>
        </w:tc>
      </w:tr>
      <w:tr w:rsidR="00CA6716" w14:paraId="59A9B2D1" w14:textId="454085A2" w:rsidTr="00CA6716">
        <w:trPr>
          <w:trHeight w:val="564"/>
        </w:trPr>
        <w:tc>
          <w:tcPr>
            <w:tcW w:w="567" w:type="dxa"/>
            <w:tcBorders>
              <w:left w:val="single" w:sz="4" w:space="0" w:color="92D050"/>
              <w:bottom w:val="single" w:sz="4" w:space="0" w:color="92D050"/>
              <w:right w:val="single" w:sz="4" w:space="0" w:color="92D050"/>
            </w:tcBorders>
            <w:vAlign w:val="center"/>
          </w:tcPr>
          <w:p w14:paraId="582CEFA3" w14:textId="54200FB4" w:rsidR="00CA6716" w:rsidRDefault="00CA6716" w:rsidP="00604ADE">
            <w:pPr>
              <w:spacing w:after="0"/>
              <w:rPr>
                <w:rFonts w:cs="Calibri"/>
                <w:sz w:val="24"/>
                <w:szCs w:val="24"/>
              </w:rPr>
            </w:pPr>
            <w:r>
              <w:rPr>
                <w:rFonts w:cs="Calibri"/>
                <w:sz w:val="24"/>
                <w:szCs w:val="24"/>
              </w:rPr>
              <w:t>5</w:t>
            </w:r>
            <w:r w:rsidRPr="29E9A49B">
              <w:rPr>
                <w:rFonts w:cs="Calibri"/>
                <w:sz w:val="24"/>
                <w:szCs w:val="24"/>
              </w:rPr>
              <w:t>.</w:t>
            </w:r>
          </w:p>
        </w:tc>
        <w:tc>
          <w:tcPr>
            <w:tcW w:w="2693" w:type="dxa"/>
            <w:tcBorders>
              <w:left w:val="single" w:sz="4" w:space="0" w:color="92D050"/>
              <w:bottom w:val="single" w:sz="4" w:space="0" w:color="92D050"/>
              <w:right w:val="single" w:sz="4" w:space="0" w:color="92D050"/>
            </w:tcBorders>
            <w:vAlign w:val="center"/>
          </w:tcPr>
          <w:p w14:paraId="15F67B72" w14:textId="6F993AD8" w:rsidR="00CA6716" w:rsidRPr="008B0C26" w:rsidRDefault="00CA6716" w:rsidP="008B0C26">
            <w:pPr>
              <w:spacing w:after="0"/>
              <w:rPr>
                <w:rFonts w:eastAsia="Calibri" w:cstheme="minorHAnsi"/>
                <w:sz w:val="24"/>
                <w:szCs w:val="24"/>
              </w:rPr>
            </w:pPr>
            <w:r w:rsidRPr="008B0C26">
              <w:rPr>
                <w:rFonts w:eastAsia="Open Sans" w:cstheme="minorHAnsi"/>
                <w:color w:val="000000" w:themeColor="text1"/>
                <w:sz w:val="24"/>
                <w:szCs w:val="24"/>
                <w:lang w:val="pl"/>
              </w:rPr>
              <w:t>Zobowiązanie do przedłożenia SUMP do uchwalenia przez rady gmin zaangażowanych w</w:t>
            </w:r>
            <w:r w:rsidR="00A34B45">
              <w:rPr>
                <w:rFonts w:eastAsia="Open Sans" w:cstheme="minorHAnsi"/>
                <w:color w:val="000000" w:themeColor="text1"/>
                <w:sz w:val="24"/>
                <w:szCs w:val="24"/>
                <w:lang w:val="pl"/>
              </w:rPr>
              <w:t> </w:t>
            </w:r>
            <w:r w:rsidRPr="008B0C26">
              <w:rPr>
                <w:rFonts w:eastAsia="Open Sans" w:cstheme="minorHAnsi"/>
                <w:color w:val="000000" w:themeColor="text1"/>
                <w:sz w:val="24"/>
                <w:szCs w:val="24"/>
                <w:lang w:val="pl"/>
              </w:rPr>
              <w:t>proces</w:t>
            </w:r>
          </w:p>
        </w:tc>
        <w:tc>
          <w:tcPr>
            <w:tcW w:w="9781" w:type="dxa"/>
            <w:tcBorders>
              <w:left w:val="single" w:sz="4" w:space="0" w:color="92D050"/>
              <w:bottom w:val="single" w:sz="4" w:space="0" w:color="92D050"/>
              <w:right w:val="single" w:sz="4" w:space="0" w:color="92D050"/>
            </w:tcBorders>
            <w:vAlign w:val="center"/>
          </w:tcPr>
          <w:p w14:paraId="2C3151F8" w14:textId="77777777" w:rsidR="0065120B" w:rsidRDefault="00CA6716" w:rsidP="0065120B">
            <w:pPr>
              <w:spacing w:after="0"/>
              <w:rPr>
                <w:rFonts w:eastAsia="Open Sans" w:cstheme="minorHAnsi"/>
                <w:color w:val="000000" w:themeColor="text1"/>
                <w:sz w:val="24"/>
                <w:szCs w:val="24"/>
                <w:lang w:val="pl"/>
              </w:rPr>
            </w:pPr>
            <w:r w:rsidRPr="008B0C26">
              <w:rPr>
                <w:rFonts w:eastAsia="Open Sans" w:cstheme="minorHAnsi"/>
                <w:color w:val="000000" w:themeColor="text1"/>
                <w:sz w:val="24"/>
                <w:szCs w:val="24"/>
                <w:lang w:val="pl"/>
              </w:rPr>
              <w:t>Ocenie podlegać będzie udokumentowane oświadczeniem założenie przyjęcia SUMP przez gminy zaangażowane w proces odpowiednimi uchwałami ich rad</w:t>
            </w:r>
            <w:r>
              <w:rPr>
                <w:rFonts w:eastAsia="Open Sans" w:cstheme="minorHAnsi"/>
                <w:color w:val="000000" w:themeColor="text1"/>
                <w:sz w:val="24"/>
                <w:szCs w:val="24"/>
                <w:lang w:val="pl"/>
              </w:rPr>
              <w:t>, przed podpisaniem umowy o</w:t>
            </w:r>
            <w:r w:rsidR="00A34B45">
              <w:rPr>
                <w:rFonts w:eastAsia="Open Sans" w:cstheme="minorHAnsi"/>
                <w:color w:val="000000" w:themeColor="text1"/>
                <w:sz w:val="24"/>
                <w:szCs w:val="24"/>
                <w:lang w:val="pl"/>
              </w:rPr>
              <w:t> </w:t>
            </w:r>
            <w:r>
              <w:rPr>
                <w:rFonts w:eastAsia="Open Sans" w:cstheme="minorHAnsi"/>
                <w:color w:val="000000" w:themeColor="text1"/>
                <w:sz w:val="24"/>
                <w:szCs w:val="24"/>
                <w:lang w:val="pl"/>
              </w:rPr>
              <w:t>dofinansowanie projektu</w:t>
            </w:r>
            <w:r w:rsidRPr="00E22C9B">
              <w:rPr>
                <w:rFonts w:eastAsia="Open Sans" w:cstheme="minorHAnsi"/>
                <w:color w:val="000000" w:themeColor="text1"/>
                <w:sz w:val="24"/>
                <w:szCs w:val="24"/>
                <w:lang w:val="pl"/>
              </w:rPr>
              <w:t>.</w:t>
            </w:r>
          </w:p>
          <w:p w14:paraId="3AF6B5E4" w14:textId="165DEBF2" w:rsidR="00CA6716" w:rsidRPr="0065120B" w:rsidRDefault="00CA6716" w:rsidP="0065120B">
            <w:pPr>
              <w:spacing w:after="0"/>
              <w:rPr>
                <w:rFonts w:eastAsia="Open Sans" w:cstheme="minorHAnsi"/>
                <w:color w:val="000000" w:themeColor="text1"/>
                <w:sz w:val="24"/>
                <w:szCs w:val="24"/>
                <w:lang w:val="pl"/>
              </w:rPr>
            </w:pPr>
            <w:r w:rsidRPr="008B0C26">
              <w:rPr>
                <w:rFonts w:eastAsia="Open Sans" w:cstheme="minorHAnsi"/>
                <w:sz w:val="24"/>
                <w:szCs w:val="24"/>
                <w:lang w:val="pl"/>
              </w:rPr>
              <w:t>Kryterium będzie oceniane na podstawie deklaracji/oświadczenia każdej z gmin lub odpowiednich zapisów w przyjętych dokumentach regulujących zasady współpracy i podział obowiązków pomiędzy podmiotami zaangażowanymi w opracowanie SUMP.</w:t>
            </w:r>
          </w:p>
          <w:p w14:paraId="3CB9D8BB" w14:textId="40DDE8F5" w:rsidR="00CA6716" w:rsidRPr="008B0C26" w:rsidRDefault="00CA6716" w:rsidP="008B0C26">
            <w:pPr>
              <w:spacing w:after="0"/>
              <w:rPr>
                <w:rFonts w:eastAsia="Calibri" w:cstheme="minorHAnsi"/>
                <w:sz w:val="24"/>
                <w:szCs w:val="24"/>
              </w:rPr>
            </w:pPr>
            <w:r>
              <w:rPr>
                <w:rFonts w:cstheme="minorHAnsi"/>
                <w:sz w:val="24"/>
                <w:szCs w:val="24"/>
              </w:rPr>
              <w:lastRenderedPageBreak/>
              <w:t>Kryterium weryfikowane na podstawie zapisów wniosku o dofinansowanie i załączników i/lub wyjaśnień udzielonych przez Wnioskodawcę</w:t>
            </w:r>
            <w:r w:rsidRPr="00D14ED5">
              <w:rPr>
                <w:rFonts w:ascii="Calibri" w:hAnsi="Calibri" w:cs="Calibri"/>
                <w:sz w:val="24"/>
                <w:szCs w:val="24"/>
              </w:rPr>
              <w:t>.</w:t>
            </w:r>
          </w:p>
        </w:tc>
        <w:tc>
          <w:tcPr>
            <w:tcW w:w="3119" w:type="dxa"/>
            <w:tcBorders>
              <w:left w:val="single" w:sz="4" w:space="0" w:color="92D050"/>
              <w:bottom w:val="single" w:sz="4" w:space="0" w:color="92D050"/>
              <w:right w:val="single" w:sz="4" w:space="0" w:color="92D050"/>
            </w:tcBorders>
            <w:vAlign w:val="center"/>
          </w:tcPr>
          <w:p w14:paraId="151AE9F2" w14:textId="2932133D" w:rsidR="00CA6716" w:rsidRDefault="00CA6716" w:rsidP="00604ADE">
            <w:pPr>
              <w:widowControl w:val="0"/>
              <w:spacing w:after="0"/>
              <w:rPr>
                <w:rFonts w:cstheme="minorBidi"/>
                <w:sz w:val="24"/>
                <w:szCs w:val="24"/>
              </w:rPr>
            </w:pPr>
            <w:r w:rsidRPr="29E9A49B">
              <w:rPr>
                <w:rFonts w:cstheme="minorBidi"/>
                <w:sz w:val="24"/>
                <w:szCs w:val="24"/>
              </w:rPr>
              <w:lastRenderedPageBreak/>
              <w:t>Kryterium bezwzględne (0/1)</w:t>
            </w:r>
          </w:p>
        </w:tc>
      </w:tr>
      <w:tr w:rsidR="00CA6716" w14:paraId="70808766" w14:textId="359F7799" w:rsidTr="00A34B45">
        <w:trPr>
          <w:trHeight w:val="1644"/>
        </w:trPr>
        <w:tc>
          <w:tcPr>
            <w:tcW w:w="567" w:type="dxa"/>
            <w:tcBorders>
              <w:left w:val="single" w:sz="4" w:space="0" w:color="92D050"/>
              <w:bottom w:val="single" w:sz="4" w:space="0" w:color="92D050"/>
              <w:right w:val="single" w:sz="4" w:space="0" w:color="92D050"/>
            </w:tcBorders>
            <w:vAlign w:val="center"/>
          </w:tcPr>
          <w:p w14:paraId="34CC2760" w14:textId="4A382174" w:rsidR="00CA6716" w:rsidRDefault="00CA6716" w:rsidP="003B23B5">
            <w:pPr>
              <w:spacing w:after="0"/>
              <w:rPr>
                <w:rFonts w:cs="Calibri"/>
                <w:sz w:val="24"/>
                <w:szCs w:val="24"/>
              </w:rPr>
            </w:pPr>
            <w:r>
              <w:rPr>
                <w:rFonts w:cs="Calibri"/>
                <w:sz w:val="24"/>
                <w:szCs w:val="24"/>
              </w:rPr>
              <w:t>6</w:t>
            </w:r>
            <w:r w:rsidRPr="29E9A49B">
              <w:rPr>
                <w:rFonts w:cs="Calibri"/>
                <w:sz w:val="24"/>
                <w:szCs w:val="24"/>
              </w:rPr>
              <w:t>.</w:t>
            </w:r>
          </w:p>
          <w:p w14:paraId="6619CD9E" w14:textId="782C1A10" w:rsidR="00CA6716" w:rsidRDefault="00CA6716" w:rsidP="29E9A49B">
            <w:pPr>
              <w:rPr>
                <w:rFonts w:cs="Calibri"/>
                <w:sz w:val="24"/>
                <w:szCs w:val="24"/>
              </w:rPr>
            </w:pPr>
          </w:p>
        </w:tc>
        <w:tc>
          <w:tcPr>
            <w:tcW w:w="2693" w:type="dxa"/>
            <w:tcBorders>
              <w:left w:val="single" w:sz="4" w:space="0" w:color="92D050"/>
              <w:bottom w:val="single" w:sz="4" w:space="0" w:color="92D050"/>
              <w:right w:val="single" w:sz="4" w:space="0" w:color="92D050"/>
            </w:tcBorders>
            <w:vAlign w:val="center"/>
          </w:tcPr>
          <w:p w14:paraId="05A88654" w14:textId="48193642" w:rsidR="00CA6716" w:rsidRPr="008B0C26" w:rsidRDefault="00CA6716" w:rsidP="008B0C26">
            <w:pPr>
              <w:spacing w:after="0"/>
              <w:rPr>
                <w:rFonts w:eastAsia="Calibri" w:cstheme="minorHAnsi"/>
                <w:sz w:val="24"/>
                <w:szCs w:val="24"/>
              </w:rPr>
            </w:pPr>
            <w:r w:rsidRPr="008B0C26">
              <w:rPr>
                <w:rFonts w:eastAsia="Open Sans" w:cstheme="minorHAnsi"/>
                <w:color w:val="000000" w:themeColor="text1"/>
                <w:sz w:val="24"/>
                <w:szCs w:val="24"/>
                <w:lang w:val="pl"/>
              </w:rPr>
              <w:t>Obszar, dla którego opracowywany jest SUMP, obejmuje więcej niż jedną gminę</w:t>
            </w:r>
          </w:p>
        </w:tc>
        <w:tc>
          <w:tcPr>
            <w:tcW w:w="9781" w:type="dxa"/>
            <w:tcBorders>
              <w:left w:val="single" w:sz="4" w:space="0" w:color="92D050"/>
              <w:bottom w:val="single" w:sz="4" w:space="0" w:color="92D050"/>
              <w:right w:val="single" w:sz="4" w:space="0" w:color="92D050"/>
            </w:tcBorders>
            <w:vAlign w:val="center"/>
          </w:tcPr>
          <w:p w14:paraId="74E53A69" w14:textId="77777777" w:rsidR="00CA6716" w:rsidRDefault="00CA6716" w:rsidP="00482E9F">
            <w:pPr>
              <w:spacing w:after="120"/>
              <w:rPr>
                <w:rFonts w:eastAsia="Open Sans" w:cstheme="minorHAnsi"/>
                <w:sz w:val="24"/>
                <w:szCs w:val="24"/>
                <w:lang w:val="pl"/>
              </w:rPr>
            </w:pPr>
            <w:r w:rsidRPr="008B0C26">
              <w:rPr>
                <w:rFonts w:eastAsia="Open Sans" w:cstheme="minorHAnsi"/>
                <w:sz w:val="24"/>
                <w:szCs w:val="24"/>
                <w:lang w:val="pl"/>
              </w:rPr>
              <w:t xml:space="preserve">Ocenie podlegać będzie obszar, dla którego zostanie opracowany SUMP – obszar ten obejmuje  cały właściwy miejski obszar funkcjonalny, </w:t>
            </w:r>
            <w:r w:rsidRPr="008B0C26">
              <w:rPr>
                <w:rFonts w:cstheme="minorHAnsi"/>
                <w:sz w:val="24"/>
                <w:szCs w:val="24"/>
              </w:rPr>
              <w:t>zgodnie z Delimitacją Miejskich Obszarów Funkcjonalnych ośrodków powiatowych w województwie opolskim</w:t>
            </w:r>
            <w:r w:rsidRPr="008B0C26">
              <w:rPr>
                <w:rFonts w:eastAsia="Open Sans" w:cstheme="minorHAnsi"/>
                <w:sz w:val="24"/>
                <w:szCs w:val="24"/>
                <w:lang w:val="pl"/>
              </w:rPr>
              <w:t>.</w:t>
            </w:r>
          </w:p>
          <w:p w14:paraId="65744275" w14:textId="1C3EE881" w:rsidR="00CA6716" w:rsidRPr="008B0C26" w:rsidRDefault="00CA6716" w:rsidP="008B0C26">
            <w:pPr>
              <w:spacing w:after="0"/>
              <w:rPr>
                <w:rFonts w:eastAsia="Open Sans" w:cstheme="minorHAnsi"/>
                <w:sz w:val="24"/>
                <w:szCs w:val="24"/>
                <w:lang w:val="pl"/>
              </w:rPr>
            </w:pPr>
            <w:r>
              <w:rPr>
                <w:rFonts w:cstheme="minorHAnsi"/>
                <w:sz w:val="24"/>
                <w:szCs w:val="24"/>
              </w:rPr>
              <w:t>Kryterium weryfikowane na podstawie zapisów wniosku o dofinansowanie i załączników i/lub wyjaśnień udzielonych przez Wnioskodawcę</w:t>
            </w:r>
            <w:r w:rsidRPr="00D14ED5">
              <w:rPr>
                <w:rFonts w:ascii="Calibri" w:hAnsi="Calibri" w:cs="Calibri"/>
                <w:sz w:val="24"/>
                <w:szCs w:val="24"/>
              </w:rPr>
              <w:t>.</w:t>
            </w:r>
          </w:p>
        </w:tc>
        <w:tc>
          <w:tcPr>
            <w:tcW w:w="3119" w:type="dxa"/>
            <w:tcBorders>
              <w:left w:val="single" w:sz="4" w:space="0" w:color="92D050"/>
              <w:bottom w:val="single" w:sz="4" w:space="0" w:color="92D050"/>
              <w:right w:val="single" w:sz="4" w:space="0" w:color="92D050"/>
            </w:tcBorders>
            <w:vAlign w:val="center"/>
          </w:tcPr>
          <w:p w14:paraId="36C382AA" w14:textId="0825B233" w:rsidR="00CA6716" w:rsidRDefault="00CA6716" w:rsidP="00604ADE">
            <w:pPr>
              <w:widowControl w:val="0"/>
              <w:spacing w:after="0"/>
              <w:rPr>
                <w:rFonts w:cstheme="minorBidi"/>
                <w:sz w:val="24"/>
                <w:szCs w:val="24"/>
              </w:rPr>
            </w:pPr>
            <w:r w:rsidRPr="29E9A49B">
              <w:rPr>
                <w:rFonts w:cstheme="minorBidi"/>
                <w:sz w:val="24"/>
                <w:szCs w:val="24"/>
              </w:rPr>
              <w:t>Kryterium bezwzględne (0/1)</w:t>
            </w:r>
          </w:p>
        </w:tc>
      </w:tr>
      <w:tr w:rsidR="00CA6716" w14:paraId="736467F6" w14:textId="61969EDB" w:rsidTr="00CA6716">
        <w:trPr>
          <w:trHeight w:val="564"/>
        </w:trPr>
        <w:tc>
          <w:tcPr>
            <w:tcW w:w="567" w:type="dxa"/>
            <w:tcBorders>
              <w:left w:val="single" w:sz="4" w:space="0" w:color="92D050"/>
              <w:bottom w:val="single" w:sz="4" w:space="0" w:color="92D050"/>
              <w:right w:val="single" w:sz="4" w:space="0" w:color="92D050"/>
            </w:tcBorders>
            <w:vAlign w:val="center"/>
          </w:tcPr>
          <w:p w14:paraId="41057B05" w14:textId="66682918" w:rsidR="00CA6716" w:rsidRDefault="00CA6716" w:rsidP="003B23B5">
            <w:pPr>
              <w:spacing w:after="0"/>
              <w:rPr>
                <w:rFonts w:cs="Calibri"/>
                <w:sz w:val="24"/>
                <w:szCs w:val="24"/>
              </w:rPr>
            </w:pPr>
            <w:r>
              <w:rPr>
                <w:rFonts w:cs="Calibri"/>
                <w:sz w:val="24"/>
                <w:szCs w:val="24"/>
              </w:rPr>
              <w:t>7</w:t>
            </w:r>
            <w:r w:rsidRPr="29E9A49B">
              <w:rPr>
                <w:rFonts w:cs="Calibri"/>
                <w:sz w:val="24"/>
                <w:szCs w:val="24"/>
              </w:rPr>
              <w:t>.</w:t>
            </w:r>
          </w:p>
          <w:p w14:paraId="2D3FA1DB" w14:textId="24153CDF" w:rsidR="00CA6716" w:rsidRDefault="00CA6716" w:rsidP="29E9A49B">
            <w:pPr>
              <w:rPr>
                <w:rFonts w:cs="Calibri"/>
                <w:sz w:val="24"/>
                <w:szCs w:val="24"/>
              </w:rPr>
            </w:pPr>
          </w:p>
        </w:tc>
        <w:tc>
          <w:tcPr>
            <w:tcW w:w="2693" w:type="dxa"/>
            <w:tcBorders>
              <w:left w:val="single" w:sz="4" w:space="0" w:color="92D050"/>
              <w:bottom w:val="single" w:sz="4" w:space="0" w:color="92D050"/>
              <w:right w:val="single" w:sz="4" w:space="0" w:color="92D050"/>
            </w:tcBorders>
            <w:vAlign w:val="center"/>
          </w:tcPr>
          <w:p w14:paraId="78CCFFA9" w14:textId="00D2F970" w:rsidR="00CA6716" w:rsidRPr="008B0C26" w:rsidRDefault="00CA6716" w:rsidP="008B0C26">
            <w:pPr>
              <w:spacing w:after="0"/>
              <w:rPr>
                <w:rFonts w:eastAsia="Calibri" w:cstheme="minorHAnsi"/>
                <w:sz w:val="24"/>
                <w:szCs w:val="24"/>
              </w:rPr>
            </w:pPr>
            <w:r w:rsidRPr="008B0C26">
              <w:rPr>
                <w:rFonts w:eastAsia="Open Sans" w:cstheme="minorHAnsi"/>
                <w:color w:val="000000" w:themeColor="text1"/>
                <w:sz w:val="24"/>
                <w:szCs w:val="24"/>
                <w:lang w:val="pl"/>
              </w:rPr>
              <w:t>Określenie wskaźników strategicznych SUMP</w:t>
            </w:r>
          </w:p>
        </w:tc>
        <w:tc>
          <w:tcPr>
            <w:tcW w:w="9781" w:type="dxa"/>
            <w:tcBorders>
              <w:left w:val="single" w:sz="4" w:space="0" w:color="92D050"/>
              <w:bottom w:val="single" w:sz="4" w:space="0" w:color="92D050"/>
              <w:right w:val="single" w:sz="4" w:space="0" w:color="92D050"/>
            </w:tcBorders>
            <w:vAlign w:val="center"/>
          </w:tcPr>
          <w:p w14:paraId="081C496B" w14:textId="3C0C845A" w:rsidR="00CA6716" w:rsidRDefault="00CA6716" w:rsidP="00A34B45">
            <w:pPr>
              <w:spacing w:after="0"/>
              <w:rPr>
                <w:rFonts w:eastAsia="Open Sans" w:cstheme="minorHAnsi"/>
                <w:sz w:val="24"/>
                <w:szCs w:val="24"/>
                <w:lang w:val="pl"/>
              </w:rPr>
            </w:pPr>
            <w:r w:rsidRPr="008B0C26">
              <w:rPr>
                <w:rFonts w:eastAsia="Open Sans" w:cstheme="minorHAnsi"/>
                <w:sz w:val="24"/>
                <w:szCs w:val="24"/>
                <w:lang w:val="pl"/>
              </w:rPr>
              <w:t>Ocenie podlegać będzie udokumentowane zapewnienie uwzględnienia zestawu strategicznych wskaźników podstawowych w zakresie bezpieczeństwa ruchu drogowego, dostępności publicznego transportu zbiorowego, emisji gazów cieplarnianych oraz jakości powietrza (wraz z</w:t>
            </w:r>
            <w:r w:rsidR="00A34B45">
              <w:rPr>
                <w:rFonts w:eastAsia="Open Sans" w:cstheme="minorHAnsi"/>
                <w:sz w:val="24"/>
                <w:szCs w:val="24"/>
                <w:lang w:val="pl"/>
              </w:rPr>
              <w:t> </w:t>
            </w:r>
            <w:r w:rsidRPr="008B0C26">
              <w:rPr>
                <w:rFonts w:eastAsia="Open Sans" w:cstheme="minorHAnsi"/>
                <w:sz w:val="24"/>
                <w:szCs w:val="24"/>
                <w:lang w:val="pl"/>
              </w:rPr>
              <w:t>zasadami ich monitorowania).</w:t>
            </w:r>
          </w:p>
          <w:p w14:paraId="1C946AEB" w14:textId="346A6D1D" w:rsidR="00CA6716" w:rsidRPr="008B0C26" w:rsidRDefault="00CA6716" w:rsidP="008B0C26">
            <w:pPr>
              <w:spacing w:after="0"/>
              <w:rPr>
                <w:rFonts w:eastAsia="Open Sans" w:cstheme="minorHAnsi"/>
                <w:sz w:val="24"/>
                <w:szCs w:val="24"/>
                <w:lang w:val="pl"/>
              </w:rPr>
            </w:pPr>
            <w:r>
              <w:rPr>
                <w:rFonts w:cstheme="minorHAnsi"/>
                <w:sz w:val="24"/>
                <w:szCs w:val="24"/>
              </w:rPr>
              <w:t>Kryterium weryfikowane na podstawie zapisów wniosku o dofinansowanie i załączników i/lub wyjaśnień udzielonych przez Wnioskodawcę</w:t>
            </w:r>
            <w:r w:rsidRPr="00D14ED5">
              <w:rPr>
                <w:rFonts w:ascii="Calibri" w:hAnsi="Calibri" w:cs="Calibri"/>
                <w:sz w:val="24"/>
                <w:szCs w:val="24"/>
              </w:rPr>
              <w:t>.</w:t>
            </w:r>
          </w:p>
        </w:tc>
        <w:tc>
          <w:tcPr>
            <w:tcW w:w="3119" w:type="dxa"/>
            <w:tcBorders>
              <w:left w:val="single" w:sz="4" w:space="0" w:color="92D050"/>
              <w:bottom w:val="single" w:sz="4" w:space="0" w:color="92D050"/>
              <w:right w:val="single" w:sz="4" w:space="0" w:color="92D050"/>
            </w:tcBorders>
            <w:vAlign w:val="center"/>
          </w:tcPr>
          <w:p w14:paraId="57F3059D" w14:textId="71E8B99D" w:rsidR="00CA6716" w:rsidRDefault="00CA6716" w:rsidP="00604ADE">
            <w:pPr>
              <w:widowControl w:val="0"/>
              <w:spacing w:after="0"/>
              <w:rPr>
                <w:rFonts w:cstheme="minorBidi"/>
                <w:sz w:val="24"/>
                <w:szCs w:val="24"/>
              </w:rPr>
            </w:pPr>
            <w:r w:rsidRPr="29E9A49B">
              <w:rPr>
                <w:rFonts w:cstheme="minorBidi"/>
                <w:sz w:val="24"/>
                <w:szCs w:val="24"/>
              </w:rPr>
              <w:t>Kryterium bezwzględne (0/1)</w:t>
            </w:r>
          </w:p>
        </w:tc>
      </w:tr>
    </w:tbl>
    <w:p w14:paraId="442106A8" w14:textId="77777777" w:rsidR="009A7048" w:rsidRDefault="009A7048" w:rsidP="00F872BD">
      <w:pPr>
        <w:tabs>
          <w:tab w:val="left" w:pos="5244"/>
        </w:tabs>
      </w:pPr>
    </w:p>
    <w:tbl>
      <w:tblPr>
        <w:tblW w:w="5724" w:type="pct"/>
        <w:tblInd w:w="-998" w:type="dxa"/>
        <w:tblLayout w:type="fixed"/>
        <w:tblCellMar>
          <w:top w:w="57" w:type="dxa"/>
          <w:left w:w="70" w:type="dxa"/>
          <w:bottom w:w="57" w:type="dxa"/>
          <w:right w:w="70" w:type="dxa"/>
        </w:tblCellMar>
        <w:tblLook w:val="00A0" w:firstRow="1" w:lastRow="0" w:firstColumn="1" w:lastColumn="0" w:noHBand="0" w:noVBand="0"/>
      </w:tblPr>
      <w:tblGrid>
        <w:gridCol w:w="16020"/>
      </w:tblGrid>
      <w:tr w:rsidR="00132BEC" w14:paraId="517B4C4B" w14:textId="77777777" w:rsidTr="003B23B5">
        <w:trPr>
          <w:trHeight w:val="935"/>
          <w:tblHeader/>
        </w:trPr>
        <w:tc>
          <w:tcPr>
            <w:tcW w:w="16020" w:type="dxa"/>
            <w:tcBorders>
              <w:top w:val="single" w:sz="4" w:space="0" w:color="92D050"/>
              <w:left w:val="single" w:sz="4" w:space="0" w:color="92D050"/>
              <w:bottom w:val="single" w:sz="4" w:space="0" w:color="92D050"/>
              <w:right w:val="single" w:sz="4" w:space="0" w:color="92D050"/>
            </w:tcBorders>
            <w:shd w:val="clear" w:color="auto" w:fill="CCFF66"/>
            <w:vAlign w:val="center"/>
          </w:tcPr>
          <w:p w14:paraId="6899DF7E" w14:textId="77777777" w:rsidR="00132BEC" w:rsidRDefault="00132BEC" w:rsidP="00D3558E">
            <w:pPr>
              <w:widowControl w:val="0"/>
              <w:spacing w:after="0"/>
              <w:rPr>
                <w:b/>
                <w:color w:val="000099"/>
                <w:sz w:val="24"/>
                <w:szCs w:val="24"/>
                <w:lang w:eastAsia="pl-PL"/>
              </w:rPr>
            </w:pPr>
            <w:r>
              <w:rPr>
                <w:b/>
                <w:color w:val="000099"/>
                <w:sz w:val="24"/>
                <w:szCs w:val="24"/>
                <w:lang w:eastAsia="pl-PL"/>
              </w:rPr>
              <w:lastRenderedPageBreak/>
              <w:t xml:space="preserve">Projekty w trybie </w:t>
            </w:r>
            <w:r w:rsidRPr="00865FC3">
              <w:rPr>
                <w:b/>
                <w:color w:val="000099"/>
                <w:sz w:val="24"/>
                <w:szCs w:val="24"/>
                <w:lang w:eastAsia="pl-PL"/>
              </w:rPr>
              <w:t>konkurencyjnym</w:t>
            </w:r>
            <w:r>
              <w:rPr>
                <w:b/>
                <w:color w:val="000099"/>
                <w:sz w:val="24"/>
                <w:szCs w:val="24"/>
                <w:lang w:eastAsia="pl-PL"/>
              </w:rPr>
              <w:t xml:space="preserve"> </w:t>
            </w:r>
          </w:p>
          <w:p w14:paraId="721FE593" w14:textId="77777777" w:rsidR="00132BEC" w:rsidRDefault="00132BEC" w:rsidP="00D3558E">
            <w:pPr>
              <w:widowControl w:val="0"/>
              <w:spacing w:after="0"/>
              <w:rPr>
                <w:b/>
                <w:color w:val="000099"/>
                <w:sz w:val="24"/>
                <w:szCs w:val="24"/>
                <w:lang w:eastAsia="pl-PL"/>
              </w:rPr>
            </w:pPr>
            <w:r>
              <w:rPr>
                <w:b/>
                <w:color w:val="000099"/>
                <w:sz w:val="24"/>
                <w:szCs w:val="24"/>
                <w:lang w:eastAsia="pl-PL"/>
              </w:rPr>
              <w:t>Typ przedsięwzięcia:</w:t>
            </w:r>
          </w:p>
          <w:p w14:paraId="4CB71B75" w14:textId="77777777" w:rsidR="00132BEC" w:rsidRDefault="00132BEC" w:rsidP="00D3558E">
            <w:pPr>
              <w:pStyle w:val="Akapitzlist"/>
              <w:widowControl w:val="0"/>
              <w:numPr>
                <w:ilvl w:val="0"/>
                <w:numId w:val="12"/>
              </w:numPr>
              <w:spacing w:after="0"/>
              <w:rPr>
                <w:b/>
                <w:bCs/>
                <w:color w:val="000099"/>
                <w:sz w:val="24"/>
                <w:szCs w:val="24"/>
              </w:rPr>
            </w:pPr>
            <w:r>
              <w:rPr>
                <w:b/>
                <w:bCs/>
                <w:color w:val="000099"/>
                <w:sz w:val="24"/>
                <w:szCs w:val="24"/>
              </w:rPr>
              <w:t>Budowa i przebudowa infrastruktury transportu miejskiego, w tym:</w:t>
            </w:r>
          </w:p>
          <w:p w14:paraId="27A53671"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centra przesiadkowe,</w:t>
            </w:r>
          </w:p>
          <w:p w14:paraId="082645DA" w14:textId="36D8E21D" w:rsidR="00132BEC" w:rsidRDefault="00132BEC" w:rsidP="00D3558E">
            <w:pPr>
              <w:pStyle w:val="Akapitzlist"/>
              <w:widowControl w:val="0"/>
              <w:spacing w:after="0"/>
              <w:ind w:left="405"/>
              <w:rPr>
                <w:b/>
                <w:bCs/>
                <w:color w:val="000099"/>
                <w:sz w:val="24"/>
                <w:szCs w:val="24"/>
              </w:rPr>
            </w:pPr>
            <w:r>
              <w:rPr>
                <w:b/>
                <w:bCs/>
                <w:color w:val="000099"/>
                <w:sz w:val="24"/>
                <w:szCs w:val="24"/>
              </w:rPr>
              <w:t>-</w:t>
            </w:r>
            <w:r w:rsidR="00987CA2">
              <w:rPr>
                <w:b/>
                <w:bCs/>
                <w:color w:val="000099"/>
                <w:sz w:val="24"/>
                <w:szCs w:val="24"/>
              </w:rPr>
              <w:t xml:space="preserve"> </w:t>
            </w:r>
            <w:r>
              <w:rPr>
                <w:b/>
                <w:bCs/>
                <w:color w:val="000099"/>
                <w:sz w:val="24"/>
                <w:szCs w:val="24"/>
              </w:rPr>
              <w:t>obiekty P&amp;R (wyłącznie na obrzeżach miast</w:t>
            </w:r>
            <w:r w:rsidR="00987CA2">
              <w:rPr>
                <w:b/>
                <w:bCs/>
                <w:color w:val="000099"/>
                <w:sz w:val="24"/>
                <w:szCs w:val="24"/>
              </w:rPr>
              <w:t>*</w:t>
            </w:r>
            <w:r w:rsidRPr="00865FC3">
              <w:rPr>
                <w:b/>
                <w:bCs/>
                <w:color w:val="000099"/>
                <w:sz w:val="24"/>
                <w:szCs w:val="24"/>
              </w:rPr>
              <w:t>), B&amp;R,</w:t>
            </w:r>
          </w:p>
          <w:p w14:paraId="3F526388"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niskoemisyjny i zeroemisyjny tabor autobusowy,</w:t>
            </w:r>
          </w:p>
          <w:p w14:paraId="56C1401B"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inwestycje ograniczające indywidualny ruch zmotoryzowany w centrach miast (ciągi piesze, wspólny bilet, przejścia dla pieszych, azyle dla pieszych),</w:t>
            </w:r>
          </w:p>
          <w:p w14:paraId="4EC534A2" w14:textId="6B7452E1" w:rsidR="00132BEC" w:rsidRDefault="00132BEC" w:rsidP="00D3558E">
            <w:pPr>
              <w:pStyle w:val="Akapitzlist"/>
              <w:widowControl w:val="0"/>
              <w:spacing w:after="0"/>
              <w:ind w:left="405"/>
              <w:rPr>
                <w:b/>
                <w:bCs/>
                <w:color w:val="000099"/>
                <w:sz w:val="24"/>
                <w:szCs w:val="24"/>
              </w:rPr>
            </w:pPr>
            <w:r>
              <w:rPr>
                <w:b/>
                <w:bCs/>
                <w:color w:val="000099"/>
                <w:sz w:val="24"/>
                <w:szCs w:val="24"/>
              </w:rPr>
              <w:t>- drogi rowerowe, ciągi pieszo-rowerowe w obszarze funkcjonalnym miast – 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w:t>
            </w:r>
            <w:r w:rsidR="00C84741">
              <w:rPr>
                <w:b/>
                <w:bCs/>
                <w:color w:val="000099"/>
                <w:sz w:val="24"/>
                <w:szCs w:val="24"/>
              </w:rPr>
              <w:t xml:space="preserve"> – jako element projektu</w:t>
            </w:r>
            <w:r>
              <w:rPr>
                <w:b/>
                <w:bCs/>
                <w:color w:val="000099"/>
                <w:sz w:val="24"/>
                <w:szCs w:val="24"/>
              </w:rPr>
              <w:t>,</w:t>
            </w:r>
          </w:p>
          <w:p w14:paraId="7E81091C" w14:textId="77777777" w:rsidR="00132BEC" w:rsidRDefault="00132BEC" w:rsidP="00D3558E">
            <w:pPr>
              <w:pStyle w:val="Akapitzlist"/>
              <w:widowControl w:val="0"/>
              <w:spacing w:after="0"/>
              <w:ind w:left="405"/>
              <w:rPr>
                <w:b/>
                <w:bCs/>
                <w:color w:val="000099"/>
                <w:sz w:val="24"/>
                <w:szCs w:val="24"/>
              </w:rPr>
            </w:pPr>
            <w:r>
              <w:rPr>
                <w:b/>
                <w:bCs/>
                <w:color w:val="000099"/>
                <w:sz w:val="24"/>
                <w:szCs w:val="24"/>
              </w:rPr>
              <w:t>- przystanki, wysepki, infrastruktura punktowa służąca poprawie jakości publicznego transportu miejskiego.</w:t>
            </w:r>
          </w:p>
          <w:p w14:paraId="37476458" w14:textId="24701789" w:rsidR="00132BEC" w:rsidRDefault="00132BEC" w:rsidP="00D3558E">
            <w:pPr>
              <w:pStyle w:val="Akapitzlist"/>
              <w:widowControl w:val="0"/>
              <w:numPr>
                <w:ilvl w:val="0"/>
                <w:numId w:val="12"/>
              </w:numPr>
              <w:spacing w:after="0"/>
              <w:rPr>
                <w:b/>
                <w:bCs/>
                <w:color w:val="000099"/>
                <w:sz w:val="24"/>
                <w:szCs w:val="24"/>
              </w:rPr>
            </w:pPr>
            <w:r>
              <w:rPr>
                <w:b/>
                <w:bCs/>
                <w:color w:val="000099"/>
                <w:sz w:val="24"/>
                <w:szCs w:val="24"/>
              </w:rPr>
              <w:t>Zaplecze techniczne do obsługi taboru, modernizacja zajezdni autobusowych wraz z infrastrukturą do ładowania i tankowania pojazdów zeroemisyjnych</w:t>
            </w:r>
            <w:r w:rsidR="00C84741">
              <w:rPr>
                <w:b/>
                <w:bCs/>
                <w:color w:val="000099"/>
                <w:sz w:val="24"/>
                <w:szCs w:val="24"/>
              </w:rPr>
              <w:t xml:space="preserve"> jedynie </w:t>
            </w:r>
            <w:r w:rsidR="00A367A2">
              <w:rPr>
                <w:b/>
                <w:bCs/>
                <w:color w:val="000099"/>
                <w:sz w:val="24"/>
                <w:szCs w:val="24"/>
              </w:rPr>
              <w:t>jako element projektu</w:t>
            </w:r>
            <w:r w:rsidR="00C84741">
              <w:rPr>
                <w:b/>
                <w:bCs/>
                <w:color w:val="000099"/>
                <w:sz w:val="24"/>
                <w:szCs w:val="24"/>
              </w:rPr>
              <w:t xml:space="preserve"> dotyczący zakupu taboru autobusowego</w:t>
            </w:r>
            <w:r>
              <w:rPr>
                <w:b/>
                <w:bCs/>
                <w:color w:val="000099"/>
                <w:sz w:val="24"/>
                <w:szCs w:val="24"/>
              </w:rPr>
              <w:t>.</w:t>
            </w:r>
          </w:p>
          <w:p w14:paraId="48E15078" w14:textId="77777777" w:rsidR="00132BEC" w:rsidRDefault="00132BEC" w:rsidP="00D3558E">
            <w:pPr>
              <w:pStyle w:val="Akapitzlist"/>
              <w:widowControl w:val="0"/>
              <w:numPr>
                <w:ilvl w:val="0"/>
                <w:numId w:val="12"/>
              </w:numPr>
              <w:spacing w:after="0"/>
              <w:rPr>
                <w:b/>
                <w:bCs/>
                <w:color w:val="000099"/>
                <w:sz w:val="24"/>
                <w:szCs w:val="24"/>
              </w:rPr>
            </w:pPr>
            <w:r>
              <w:rPr>
                <w:b/>
                <w:bCs/>
                <w:color w:val="000099"/>
                <w:sz w:val="24"/>
                <w:szCs w:val="24"/>
              </w:rPr>
              <w:t>Inwestycje w infrastrukturę drogową  transportu publicznego (np. buspasy, przebudowa skrzyżowań w celu ułatwienia oraz/lub nadania priorytetu transportowi publicznemu w 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p>
          <w:p w14:paraId="06D8F6E5" w14:textId="06AF257D" w:rsidR="00132BEC" w:rsidRDefault="00132BEC" w:rsidP="00D3558E">
            <w:pPr>
              <w:pStyle w:val="Akapitzlist"/>
              <w:widowControl w:val="0"/>
              <w:numPr>
                <w:ilvl w:val="0"/>
                <w:numId w:val="12"/>
              </w:numPr>
              <w:spacing w:after="0"/>
              <w:rPr>
                <w:b/>
                <w:bCs/>
                <w:color w:val="000099"/>
                <w:sz w:val="24"/>
                <w:szCs w:val="24"/>
              </w:rPr>
            </w:pPr>
            <w:r>
              <w:rPr>
                <w:b/>
                <w:bCs/>
                <w:color w:val="000099"/>
                <w:sz w:val="24"/>
                <w:szCs w:val="24"/>
              </w:rPr>
              <w:t>Inwestycje (budowa, rozbudowa) związane z systemami zarządzania ruchem (</w:t>
            </w:r>
            <w:r w:rsidRPr="00865FC3">
              <w:rPr>
                <w:b/>
                <w:bCs/>
                <w:color w:val="000099"/>
                <w:sz w:val="24"/>
                <w:szCs w:val="24"/>
              </w:rPr>
              <w:t>ITS</w:t>
            </w:r>
            <w:r>
              <w:rPr>
                <w:b/>
                <w:bCs/>
                <w:color w:val="000099"/>
                <w:sz w:val="24"/>
                <w:szCs w:val="24"/>
              </w:rPr>
              <w:t>)</w:t>
            </w:r>
            <w:r w:rsidR="00C84741">
              <w:rPr>
                <w:b/>
                <w:bCs/>
                <w:color w:val="000099"/>
                <w:sz w:val="24"/>
                <w:szCs w:val="24"/>
              </w:rPr>
              <w:t>**</w:t>
            </w:r>
            <w:r>
              <w:rPr>
                <w:b/>
                <w:bCs/>
                <w:color w:val="000099"/>
                <w:sz w:val="24"/>
                <w:szCs w:val="24"/>
              </w:rPr>
              <w:t>.</w:t>
            </w:r>
          </w:p>
          <w:p w14:paraId="4C8466DD" w14:textId="77777777" w:rsidR="00132BEC" w:rsidRDefault="00132BEC" w:rsidP="00D3558E">
            <w:pPr>
              <w:pStyle w:val="Akapitzlist"/>
              <w:widowControl w:val="0"/>
              <w:numPr>
                <w:ilvl w:val="0"/>
                <w:numId w:val="12"/>
              </w:numPr>
              <w:spacing w:after="0"/>
              <w:rPr>
                <w:b/>
                <w:bCs/>
                <w:color w:val="000099"/>
                <w:sz w:val="24"/>
                <w:szCs w:val="24"/>
              </w:rPr>
            </w:pPr>
            <w:r>
              <w:rPr>
                <w:b/>
                <w:bCs/>
                <w:color w:val="000099"/>
                <w:sz w:val="24"/>
                <w:szCs w:val="24"/>
              </w:rPr>
              <w:t>Inwestycje związane z energooszczędnym oświetleniem ulicznym i drogowym, jako element projektu związanego z infrastrukturą transportową.</w:t>
            </w:r>
          </w:p>
          <w:p w14:paraId="0E6B048E" w14:textId="77777777" w:rsidR="00132BEC" w:rsidRDefault="00132BEC" w:rsidP="00D3558E">
            <w:pPr>
              <w:pStyle w:val="Akapitzlist"/>
              <w:widowControl w:val="0"/>
              <w:numPr>
                <w:ilvl w:val="0"/>
                <w:numId w:val="12"/>
              </w:numPr>
              <w:spacing w:after="0"/>
              <w:rPr>
                <w:b/>
                <w:bCs/>
                <w:color w:val="000099"/>
                <w:sz w:val="24"/>
                <w:szCs w:val="24"/>
              </w:rPr>
            </w:pPr>
            <w:r>
              <w:rPr>
                <w:b/>
                <w:bCs/>
                <w:color w:val="000099"/>
                <w:sz w:val="24"/>
                <w:szCs w:val="24"/>
              </w:rPr>
              <w:t>Budowa i rozbudowa infrastruktury ładowania i tankowania pojazdów bezemisyjnych indywidualnych, zapewniającej niedyskryminacyjny dostęp wszystkich użytkowników.</w:t>
            </w:r>
          </w:p>
          <w:p w14:paraId="521DEAF7" w14:textId="7B439F02" w:rsidR="00132BEC" w:rsidRPr="003B23B5" w:rsidRDefault="00132BEC" w:rsidP="001E6669">
            <w:pPr>
              <w:pStyle w:val="Akapitzlist"/>
              <w:widowControl w:val="0"/>
              <w:numPr>
                <w:ilvl w:val="0"/>
                <w:numId w:val="12"/>
              </w:numPr>
              <w:spacing w:after="0"/>
              <w:rPr>
                <w:rFonts w:cs="Calibri"/>
                <w:b/>
                <w:color w:val="000099"/>
                <w:lang w:eastAsia="pl-PL"/>
              </w:rPr>
            </w:pPr>
            <w:r w:rsidRPr="003B23B5">
              <w:rPr>
                <w:b/>
                <w:bCs/>
                <w:color w:val="000099"/>
                <w:sz w:val="24"/>
                <w:szCs w:val="24"/>
              </w:rPr>
              <w:t xml:space="preserve">Działania info-promo i edukacyjne podnoszące świadomość mieszkańców i władz w zakresie propagowania i promocji korzystania </w:t>
            </w:r>
            <w:r w:rsidRPr="003B23B5">
              <w:rPr>
                <w:b/>
                <w:bCs/>
                <w:color w:val="000099"/>
                <w:sz w:val="24"/>
                <w:szCs w:val="24"/>
              </w:rPr>
              <w:br/>
              <w:t>z transportu zbiorowego i niezmotoryzowanego oraz bezpieczeństwa korzystania z niego – jako element projektu.</w:t>
            </w:r>
          </w:p>
          <w:p w14:paraId="685DE901" w14:textId="77777777" w:rsidR="00C84741" w:rsidRPr="003B23B5" w:rsidRDefault="00C84741" w:rsidP="003B23B5">
            <w:pPr>
              <w:pStyle w:val="Akapitzlist"/>
              <w:widowControl w:val="0"/>
              <w:spacing w:after="0"/>
              <w:ind w:left="0"/>
              <w:rPr>
                <w:rFonts w:cstheme="minorHAnsi"/>
                <w:color w:val="2F5496" w:themeColor="accent5" w:themeShade="BF"/>
                <w:sz w:val="24"/>
                <w:szCs w:val="24"/>
              </w:rPr>
            </w:pPr>
            <w:r w:rsidRPr="003B23B5">
              <w:rPr>
                <w:b/>
                <w:bCs/>
                <w:color w:val="2F5496" w:themeColor="accent5" w:themeShade="BF"/>
                <w:sz w:val="24"/>
                <w:szCs w:val="24"/>
              </w:rPr>
              <w:t xml:space="preserve">* - </w:t>
            </w:r>
            <w:r w:rsidRPr="003B23B5">
              <w:rPr>
                <w:rFonts w:cstheme="minorHAnsi"/>
                <w:color w:val="2F5496" w:themeColor="accent5" w:themeShade="BF"/>
                <w:sz w:val="24"/>
                <w:szCs w:val="24"/>
              </w:rPr>
              <w:t xml:space="preserve">Inwestycje z zakresu P&amp;R tylko dla obiektów zlokalizowanych w strefach dojazdów do pracy w aglomeracjach (poza centrami miast) i tylko wtedy, gdy są one </w:t>
            </w:r>
            <w:r w:rsidRPr="003B23B5">
              <w:rPr>
                <w:rFonts w:cstheme="minorHAnsi"/>
                <w:color w:val="2F5496" w:themeColor="accent5" w:themeShade="BF"/>
                <w:sz w:val="24"/>
                <w:szCs w:val="24"/>
              </w:rPr>
              <w:lastRenderedPageBreak/>
              <w:t>powiązane z uzupełniającymi połączeniami transportu publicznego i innymi środkami wspierającymi zrównoważony transport publiczny w mieście.</w:t>
            </w:r>
          </w:p>
          <w:p w14:paraId="3A9A6E03" w14:textId="20D6F3AD" w:rsidR="00C84741" w:rsidRPr="003B23B5" w:rsidRDefault="00C84741" w:rsidP="003B23B5">
            <w:pPr>
              <w:pStyle w:val="Akapitzlist"/>
              <w:widowControl w:val="0"/>
              <w:spacing w:after="0"/>
              <w:ind w:left="0"/>
              <w:rPr>
                <w:rFonts w:cs="Calibri"/>
                <w:b/>
                <w:color w:val="000099"/>
                <w:lang w:eastAsia="pl-PL"/>
              </w:rPr>
            </w:pPr>
            <w:r w:rsidRPr="00604ADE">
              <w:rPr>
                <w:rFonts w:cstheme="minorHAnsi"/>
                <w:b/>
                <w:bCs/>
                <w:color w:val="2F5496" w:themeColor="accent5" w:themeShade="BF"/>
                <w:sz w:val="24"/>
                <w:szCs w:val="24"/>
              </w:rPr>
              <w:t>**</w:t>
            </w:r>
            <w:r w:rsidRPr="003B23B5">
              <w:rPr>
                <w:rFonts w:cstheme="minorHAnsi"/>
                <w:color w:val="2F5496" w:themeColor="accent5" w:themeShade="BF"/>
                <w:sz w:val="24"/>
                <w:szCs w:val="24"/>
              </w:rPr>
              <w:t xml:space="preserve"> - </w:t>
            </w:r>
            <w:r w:rsidRPr="003B23B5">
              <w:rPr>
                <w:color w:val="2F5496" w:themeColor="accent5" w:themeShade="BF"/>
                <w:sz w:val="24"/>
                <w:szCs w:val="24"/>
              </w:rPr>
              <w:t>Z wyłączeniem inwestycji w ITS, których celem jest jedynie zwiększenie intensywności użytkowania (np. zwiększenie przepustowości) obecnie istniejącej infrastruktury drogowej.</w:t>
            </w:r>
          </w:p>
        </w:tc>
      </w:tr>
    </w:tbl>
    <w:p w14:paraId="6DA1CBA8" w14:textId="65FE8DA3" w:rsidR="00132BEC" w:rsidRPr="00924C40" w:rsidRDefault="00132BEC" w:rsidP="00F872BD">
      <w:pPr>
        <w:tabs>
          <w:tab w:val="left" w:pos="5244"/>
        </w:tabs>
        <w:rPr>
          <w:sz w:val="2"/>
          <w:szCs w:val="2"/>
        </w:rPr>
      </w:pPr>
    </w:p>
    <w:tbl>
      <w:tblPr>
        <w:tblW w:w="5724" w:type="pct"/>
        <w:tblInd w:w="-998" w:type="dxa"/>
        <w:tblLayout w:type="fixed"/>
        <w:tblCellMar>
          <w:top w:w="57" w:type="dxa"/>
          <w:left w:w="70" w:type="dxa"/>
          <w:bottom w:w="57" w:type="dxa"/>
          <w:right w:w="70" w:type="dxa"/>
        </w:tblCellMar>
        <w:tblLook w:val="00A0" w:firstRow="1" w:lastRow="0" w:firstColumn="1" w:lastColumn="0" w:noHBand="0" w:noVBand="0"/>
      </w:tblPr>
      <w:tblGrid>
        <w:gridCol w:w="566"/>
        <w:gridCol w:w="1847"/>
        <w:gridCol w:w="9212"/>
        <w:gridCol w:w="1701"/>
        <w:gridCol w:w="1275"/>
        <w:gridCol w:w="1419"/>
      </w:tblGrid>
      <w:tr w:rsidR="00CA6716" w14:paraId="35819C23" w14:textId="77777777" w:rsidTr="00CA6716">
        <w:trPr>
          <w:trHeight w:val="308"/>
          <w:tblHeader/>
        </w:trPr>
        <w:tc>
          <w:tcPr>
            <w:tcW w:w="16020" w:type="dxa"/>
            <w:gridSpan w:val="6"/>
            <w:tcBorders>
              <w:top w:val="single" w:sz="4" w:space="0" w:color="92D050"/>
              <w:left w:val="single" w:sz="4" w:space="0" w:color="92D050"/>
              <w:bottom w:val="single" w:sz="4" w:space="0" w:color="92D050"/>
              <w:right w:val="single" w:sz="4" w:space="0" w:color="92D050"/>
            </w:tcBorders>
            <w:shd w:val="clear" w:color="auto" w:fill="D9D9D9"/>
            <w:vAlign w:val="center"/>
          </w:tcPr>
          <w:p w14:paraId="3CF59C80" w14:textId="77FB62C4" w:rsidR="00CA6716" w:rsidRPr="005F2857" w:rsidRDefault="00CA6716" w:rsidP="00CA6716">
            <w:pPr>
              <w:widowControl w:val="0"/>
              <w:spacing w:after="0"/>
              <w:rPr>
                <w:rFonts w:cs="Calibri"/>
                <w:b/>
                <w:color w:val="000099"/>
                <w:sz w:val="24"/>
                <w:szCs w:val="24"/>
                <w:lang w:eastAsia="pl-PL"/>
              </w:rPr>
            </w:pPr>
            <w:r w:rsidRPr="00CE2231">
              <w:rPr>
                <w:rFonts w:cs="Calibri"/>
                <w:b/>
                <w:color w:val="000099"/>
                <w:sz w:val="24"/>
                <w:szCs w:val="24"/>
                <w:lang w:eastAsia="pl-PL"/>
              </w:rPr>
              <w:t>Kryteria merytoryczne szczegółowe (punktowane)</w:t>
            </w:r>
          </w:p>
        </w:tc>
      </w:tr>
      <w:tr w:rsidR="00CA6716" w14:paraId="457CB3B3" w14:textId="233E1DA9" w:rsidTr="00CA6716">
        <w:trPr>
          <w:trHeight w:val="308"/>
          <w:tblHeader/>
        </w:trPr>
        <w:tc>
          <w:tcPr>
            <w:tcW w:w="566"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69895889" w14:textId="00BA58B4" w:rsidR="00CA6716" w:rsidRPr="005F2857" w:rsidRDefault="00CA6716" w:rsidP="00C03A63">
            <w:pPr>
              <w:widowControl w:val="0"/>
              <w:spacing w:after="0"/>
              <w:jc w:val="center"/>
              <w:rPr>
                <w:rFonts w:cs="Calibri"/>
                <w:b/>
                <w:bCs/>
                <w:color w:val="000099"/>
                <w:sz w:val="24"/>
                <w:szCs w:val="24"/>
              </w:rPr>
            </w:pPr>
            <w:r>
              <w:rPr>
                <w:rFonts w:cs="Calibri"/>
                <w:b/>
                <w:bCs/>
                <w:color w:val="000099"/>
                <w:sz w:val="24"/>
                <w:szCs w:val="24"/>
              </w:rPr>
              <w:t>L</w:t>
            </w:r>
            <w:r w:rsidRPr="005F2857">
              <w:rPr>
                <w:rFonts w:cs="Calibri"/>
                <w:b/>
                <w:bCs/>
                <w:color w:val="000099"/>
                <w:sz w:val="24"/>
                <w:szCs w:val="24"/>
              </w:rPr>
              <w:t>p.</w:t>
            </w:r>
          </w:p>
        </w:tc>
        <w:tc>
          <w:tcPr>
            <w:tcW w:w="1847"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5516757B" w14:textId="77777777" w:rsidR="00CA6716" w:rsidRPr="005F2857" w:rsidRDefault="00CA6716" w:rsidP="00C03A63">
            <w:pPr>
              <w:widowControl w:val="0"/>
              <w:spacing w:after="0"/>
              <w:jc w:val="center"/>
              <w:rPr>
                <w:rFonts w:cs="Calibri"/>
                <w:b/>
                <w:bCs/>
                <w:color w:val="000099"/>
                <w:sz w:val="24"/>
                <w:szCs w:val="24"/>
              </w:rPr>
            </w:pPr>
            <w:r w:rsidRPr="005F2857">
              <w:rPr>
                <w:rFonts w:cs="Calibri"/>
                <w:b/>
                <w:bCs/>
                <w:color w:val="000099"/>
                <w:sz w:val="24"/>
                <w:szCs w:val="24"/>
              </w:rPr>
              <w:t>Nazwa kryterium</w:t>
            </w:r>
          </w:p>
        </w:tc>
        <w:tc>
          <w:tcPr>
            <w:tcW w:w="9212"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59A5D73C" w14:textId="77777777" w:rsidR="00CA6716" w:rsidRPr="005F2857" w:rsidRDefault="00CA6716" w:rsidP="00C03A63">
            <w:pPr>
              <w:widowControl w:val="0"/>
              <w:spacing w:after="0"/>
              <w:jc w:val="center"/>
              <w:rPr>
                <w:rFonts w:cs="Calibri"/>
                <w:b/>
                <w:bCs/>
                <w:color w:val="000099"/>
                <w:sz w:val="24"/>
                <w:szCs w:val="24"/>
              </w:rPr>
            </w:pPr>
            <w:r w:rsidRPr="005F2857">
              <w:rPr>
                <w:rFonts w:cs="Calibri"/>
                <w:b/>
                <w:bCs/>
                <w:color w:val="000099"/>
                <w:sz w:val="24"/>
                <w:szCs w:val="24"/>
              </w:rPr>
              <w:t>Definicja</w:t>
            </w:r>
          </w:p>
        </w:tc>
        <w:tc>
          <w:tcPr>
            <w:tcW w:w="1701"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4A3EF3AF" w14:textId="77777777" w:rsidR="00CA6716" w:rsidRPr="005F2857" w:rsidRDefault="00CA6716" w:rsidP="00C03A63">
            <w:pPr>
              <w:widowControl w:val="0"/>
              <w:spacing w:after="0"/>
              <w:jc w:val="center"/>
              <w:rPr>
                <w:rFonts w:cs="Calibri"/>
                <w:b/>
                <w:color w:val="000099"/>
                <w:sz w:val="24"/>
                <w:szCs w:val="24"/>
                <w:lang w:eastAsia="pl-PL"/>
              </w:rPr>
            </w:pPr>
            <w:r w:rsidRPr="005F2857">
              <w:rPr>
                <w:rFonts w:cs="Calibri"/>
                <w:b/>
                <w:color w:val="000099"/>
                <w:sz w:val="24"/>
                <w:szCs w:val="24"/>
                <w:lang w:eastAsia="pl-PL"/>
              </w:rPr>
              <w:t>Opis znaczenia kryterium</w:t>
            </w:r>
          </w:p>
        </w:tc>
        <w:tc>
          <w:tcPr>
            <w:tcW w:w="1275"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6C176713" w14:textId="77777777" w:rsidR="00CA6716" w:rsidRPr="005F2857" w:rsidRDefault="00CA6716" w:rsidP="00C03A63">
            <w:pPr>
              <w:widowControl w:val="0"/>
              <w:spacing w:after="0"/>
              <w:jc w:val="center"/>
              <w:rPr>
                <w:rFonts w:cs="Calibri"/>
                <w:b/>
                <w:color w:val="000099"/>
                <w:sz w:val="24"/>
                <w:szCs w:val="24"/>
                <w:lang w:eastAsia="pl-PL"/>
              </w:rPr>
            </w:pPr>
            <w:r w:rsidRPr="005F2857">
              <w:rPr>
                <w:rFonts w:cs="Calibri"/>
                <w:b/>
                <w:color w:val="000099"/>
                <w:sz w:val="24"/>
                <w:szCs w:val="24"/>
                <w:lang w:eastAsia="pl-PL"/>
              </w:rPr>
              <w:t>Waga</w:t>
            </w:r>
          </w:p>
        </w:tc>
        <w:tc>
          <w:tcPr>
            <w:tcW w:w="1419" w:type="dxa"/>
            <w:tcBorders>
              <w:top w:val="single" w:sz="4" w:space="0" w:color="92D050"/>
              <w:left w:val="single" w:sz="4" w:space="0" w:color="92D050"/>
              <w:bottom w:val="single" w:sz="4" w:space="0" w:color="92D050"/>
              <w:right w:val="single" w:sz="4" w:space="0" w:color="92D050"/>
            </w:tcBorders>
            <w:shd w:val="clear" w:color="auto" w:fill="D9D9D9"/>
            <w:vAlign w:val="center"/>
          </w:tcPr>
          <w:p w14:paraId="58DA3053" w14:textId="77777777" w:rsidR="00CA6716" w:rsidRPr="005F2857" w:rsidRDefault="00CA6716" w:rsidP="00C03A63">
            <w:pPr>
              <w:widowControl w:val="0"/>
              <w:spacing w:after="0"/>
              <w:jc w:val="center"/>
              <w:rPr>
                <w:rFonts w:cs="Calibri"/>
                <w:b/>
                <w:color w:val="000099"/>
                <w:sz w:val="24"/>
                <w:szCs w:val="24"/>
                <w:lang w:eastAsia="pl-PL"/>
              </w:rPr>
            </w:pPr>
            <w:r w:rsidRPr="005F2857">
              <w:rPr>
                <w:rFonts w:cs="Calibri"/>
                <w:b/>
                <w:color w:val="000099"/>
                <w:sz w:val="24"/>
                <w:szCs w:val="24"/>
                <w:lang w:eastAsia="pl-PL"/>
              </w:rPr>
              <w:t>Punktacja</w:t>
            </w:r>
          </w:p>
        </w:tc>
      </w:tr>
      <w:tr w:rsidR="00CA6716" w14:paraId="1671D385" w14:textId="48D65B40" w:rsidTr="00CA6716">
        <w:trPr>
          <w:trHeight w:val="255"/>
          <w:tblHeader/>
        </w:trPr>
        <w:tc>
          <w:tcPr>
            <w:tcW w:w="566"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5C06A1CF" w14:textId="77777777"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1</w:t>
            </w:r>
          </w:p>
        </w:tc>
        <w:tc>
          <w:tcPr>
            <w:tcW w:w="1847"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057A5C7E" w14:textId="77777777"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2</w:t>
            </w:r>
          </w:p>
        </w:tc>
        <w:tc>
          <w:tcPr>
            <w:tcW w:w="9212"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423AFC87" w14:textId="77777777"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3</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cPr>
          <w:p w14:paraId="6BF6AE11" w14:textId="4132B33F"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4</w:t>
            </w:r>
          </w:p>
        </w:tc>
        <w:tc>
          <w:tcPr>
            <w:tcW w:w="1275"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7180B902" w14:textId="6D165F88"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5</w:t>
            </w:r>
          </w:p>
        </w:tc>
        <w:tc>
          <w:tcPr>
            <w:tcW w:w="1419" w:type="dxa"/>
            <w:tcBorders>
              <w:top w:val="single" w:sz="4" w:space="0" w:color="92D050"/>
              <w:left w:val="single" w:sz="4" w:space="0" w:color="92D050"/>
              <w:bottom w:val="single" w:sz="4" w:space="0" w:color="92D050"/>
              <w:right w:val="single" w:sz="4" w:space="0" w:color="92D050"/>
            </w:tcBorders>
            <w:shd w:val="clear" w:color="auto" w:fill="F2F2F2"/>
            <w:vAlign w:val="center"/>
          </w:tcPr>
          <w:p w14:paraId="72468539" w14:textId="76BA0247" w:rsidR="00CA6716" w:rsidRPr="00C03A63" w:rsidRDefault="00CA6716" w:rsidP="00C03A63">
            <w:pPr>
              <w:widowControl w:val="0"/>
              <w:spacing w:after="0"/>
              <w:jc w:val="center"/>
              <w:rPr>
                <w:rFonts w:cs="Calibri"/>
                <w:bCs/>
                <w:i/>
                <w:color w:val="000099"/>
                <w:sz w:val="24"/>
                <w:szCs w:val="24"/>
              </w:rPr>
            </w:pPr>
            <w:r w:rsidRPr="00C03A63">
              <w:rPr>
                <w:rFonts w:cs="Calibri"/>
                <w:i/>
                <w:color w:val="000099"/>
                <w:sz w:val="24"/>
                <w:szCs w:val="24"/>
                <w:lang w:eastAsia="pl-PL"/>
              </w:rPr>
              <w:t>6</w:t>
            </w:r>
          </w:p>
        </w:tc>
      </w:tr>
      <w:tr w:rsidR="00CA6716" w14:paraId="5650DF11" w14:textId="1D90C2FF" w:rsidTr="00CA6716">
        <w:trPr>
          <w:trHeight w:val="644"/>
        </w:trPr>
        <w:tc>
          <w:tcPr>
            <w:tcW w:w="566" w:type="dxa"/>
            <w:tcBorders>
              <w:top w:val="single" w:sz="4" w:space="0" w:color="92D050"/>
              <w:left w:val="single" w:sz="4" w:space="0" w:color="92D050"/>
              <w:bottom w:val="single" w:sz="4" w:space="0" w:color="92D050"/>
              <w:right w:val="single" w:sz="4" w:space="0" w:color="92D050"/>
            </w:tcBorders>
            <w:vAlign w:val="center"/>
          </w:tcPr>
          <w:p w14:paraId="27CC59E1" w14:textId="77777777" w:rsidR="00CA6716" w:rsidRPr="00CE2231" w:rsidRDefault="00CA6716">
            <w:pPr>
              <w:widowControl w:val="0"/>
              <w:spacing w:after="0"/>
              <w:rPr>
                <w:rFonts w:cs="Calibri"/>
                <w:sz w:val="24"/>
                <w:szCs w:val="24"/>
              </w:rPr>
            </w:pPr>
            <w:r w:rsidRPr="00CE2231">
              <w:rPr>
                <w:rFonts w:cs="Calibri"/>
                <w:sz w:val="24"/>
                <w:szCs w:val="24"/>
              </w:rPr>
              <w:t>1.</w:t>
            </w:r>
          </w:p>
        </w:tc>
        <w:tc>
          <w:tcPr>
            <w:tcW w:w="1847" w:type="dxa"/>
            <w:tcBorders>
              <w:top w:val="single" w:sz="4" w:space="0" w:color="92D050"/>
              <w:left w:val="single" w:sz="4" w:space="0" w:color="92D050"/>
              <w:bottom w:val="single" w:sz="4" w:space="0" w:color="92D050"/>
              <w:right w:val="single" w:sz="4" w:space="0" w:color="92D050"/>
            </w:tcBorders>
            <w:vAlign w:val="center"/>
          </w:tcPr>
          <w:p w14:paraId="65A0C7EE" w14:textId="77777777" w:rsidR="00CA6716" w:rsidRPr="00CE2231" w:rsidRDefault="00CA6716">
            <w:pPr>
              <w:widowControl w:val="0"/>
              <w:spacing w:after="0"/>
              <w:rPr>
                <w:rFonts w:cs="Calibri"/>
                <w:sz w:val="24"/>
                <w:szCs w:val="24"/>
                <w:lang w:eastAsia="pl-PL"/>
              </w:rPr>
            </w:pPr>
            <w:r w:rsidRPr="00CE2231">
              <w:rPr>
                <w:rFonts w:cs="Calibri"/>
                <w:sz w:val="24"/>
                <w:szCs w:val="24"/>
                <w:lang w:eastAsia="pl-PL"/>
              </w:rPr>
              <w:t>Zintegrowany charakter projektu</w:t>
            </w:r>
          </w:p>
        </w:tc>
        <w:tc>
          <w:tcPr>
            <w:tcW w:w="9212" w:type="dxa"/>
            <w:tcBorders>
              <w:top w:val="single" w:sz="4" w:space="0" w:color="92D050"/>
              <w:left w:val="single" w:sz="4" w:space="0" w:color="92D050"/>
              <w:bottom w:val="single" w:sz="4" w:space="0" w:color="92D050"/>
              <w:right w:val="single" w:sz="4" w:space="0" w:color="92D050"/>
            </w:tcBorders>
            <w:vAlign w:val="center"/>
          </w:tcPr>
          <w:p w14:paraId="6422E254" w14:textId="77777777" w:rsidR="00CA6716" w:rsidRPr="00CE2231" w:rsidRDefault="00CA6716"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Punktowane będą projekty łączące główne typy przedsięwzięć możliwych do realizowania, wskazane w SZOP FEO 2021-2027.</w:t>
            </w:r>
          </w:p>
          <w:p w14:paraId="2951ADCC" w14:textId="29A92726" w:rsidR="00CA6716" w:rsidRPr="00CE2231" w:rsidRDefault="00CA6716"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0 pkt – projekt realizuje jeden typ </w:t>
            </w:r>
            <w:r>
              <w:rPr>
                <w:rFonts w:cs="Calibri"/>
                <w:color w:val="000000"/>
                <w:sz w:val="24"/>
                <w:szCs w:val="24"/>
                <w:lang w:eastAsia="pl-PL"/>
              </w:rPr>
              <w:t>przedsięwzięcia,</w:t>
            </w:r>
          </w:p>
          <w:p w14:paraId="3D85398F" w14:textId="594F9B85" w:rsidR="00CA6716" w:rsidRPr="00CE2231" w:rsidRDefault="00CA6716"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1 pkt – projekt realizuje dwa typy </w:t>
            </w:r>
            <w:r>
              <w:rPr>
                <w:rFonts w:cs="Calibri"/>
                <w:color w:val="000000"/>
                <w:sz w:val="24"/>
                <w:szCs w:val="24"/>
                <w:lang w:eastAsia="pl-PL"/>
              </w:rPr>
              <w:t>przedsięwzięć,</w:t>
            </w:r>
          </w:p>
          <w:p w14:paraId="3AFE039B" w14:textId="5E0E186D" w:rsidR="00CA6716" w:rsidRPr="00CE2231" w:rsidRDefault="00CA6716" w:rsidP="005F2857">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2 pkt – projekt realizuje trzy typy </w:t>
            </w:r>
            <w:r>
              <w:rPr>
                <w:rFonts w:cs="Calibri"/>
                <w:color w:val="000000"/>
                <w:sz w:val="24"/>
                <w:szCs w:val="24"/>
                <w:lang w:eastAsia="pl-PL"/>
              </w:rPr>
              <w:t>przedsięwzięć,</w:t>
            </w:r>
          </w:p>
          <w:p w14:paraId="2CEB1C8C" w14:textId="11CE24C3" w:rsidR="00CA6716" w:rsidRDefault="00CA6716" w:rsidP="00DB15D2">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 xml:space="preserve">3 pkt – projekt realizuje cztery lub więcej typów </w:t>
            </w:r>
            <w:r>
              <w:rPr>
                <w:rFonts w:cs="Calibri"/>
                <w:color w:val="000000"/>
                <w:sz w:val="24"/>
                <w:szCs w:val="24"/>
                <w:lang w:eastAsia="pl-PL"/>
              </w:rPr>
              <w:t>przedsięwzięć.</w:t>
            </w:r>
          </w:p>
          <w:p w14:paraId="3DDD3749" w14:textId="45CDD86B" w:rsidR="00CA6716" w:rsidRPr="00DB15D2" w:rsidRDefault="00CA6716" w:rsidP="00F66DF4">
            <w:pPr>
              <w:autoSpaceDE w:val="0"/>
              <w:autoSpaceDN w:val="0"/>
              <w:adjustRightInd w:val="0"/>
              <w:spacing w:after="0"/>
              <w:rPr>
                <w:rFonts w:cstheme="minorHAnsi"/>
                <w:sz w:val="24"/>
                <w:szCs w:val="24"/>
                <w:lang w:eastAsia="pl-PL"/>
              </w:rPr>
            </w:pPr>
            <w:r>
              <w:rPr>
                <w:rFonts w:cstheme="minorHAnsi"/>
                <w:sz w:val="24"/>
                <w:szCs w:val="24"/>
              </w:rPr>
              <w:t>Kryterium weryfikowane na podstawie zapisów wniosku o dofinansowanie i załączników i/lub wyjaśnień udzielonych przez Wnioskodawcę</w:t>
            </w:r>
            <w:r w:rsidRPr="00D14ED5">
              <w:rPr>
                <w:rFonts w:ascii="Calibri" w:hAnsi="Calibri" w:cs="Calibri"/>
                <w:sz w:val="24"/>
                <w:szCs w:val="24"/>
              </w:rPr>
              <w:t>.</w:t>
            </w:r>
          </w:p>
        </w:tc>
        <w:tc>
          <w:tcPr>
            <w:tcW w:w="170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7C91C7F" w14:textId="406619D5" w:rsidR="00CA6716" w:rsidRPr="005F2857" w:rsidRDefault="00CA6716" w:rsidP="005F2857">
            <w:pPr>
              <w:widowControl w:val="0"/>
              <w:spacing w:after="0"/>
              <w:jc w:val="center"/>
              <w:rPr>
                <w:rFonts w:cs="Calibri"/>
                <w:bCs/>
                <w:sz w:val="24"/>
                <w:szCs w:val="24"/>
                <w:lang w:eastAsia="pl-PL"/>
              </w:rPr>
            </w:pPr>
            <w:r w:rsidRPr="00CE2231">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9572607" w14:textId="77777777" w:rsidR="00CA6716" w:rsidRPr="00CE2231" w:rsidRDefault="00CA6716">
            <w:pPr>
              <w:widowControl w:val="0"/>
              <w:spacing w:after="0"/>
              <w:jc w:val="center"/>
              <w:rPr>
                <w:rFonts w:cs="Calibri"/>
                <w:bCs/>
                <w:sz w:val="24"/>
                <w:szCs w:val="24"/>
                <w:lang w:eastAsia="pl-PL"/>
              </w:rPr>
            </w:pPr>
            <w:r w:rsidRPr="00CE2231">
              <w:rPr>
                <w:rFonts w:cs="Calibri"/>
                <w:bCs/>
                <w:sz w:val="24"/>
                <w:szCs w:val="24"/>
                <w:lang w:eastAsia="pl-PL"/>
              </w:rPr>
              <w:t>3</w:t>
            </w:r>
          </w:p>
        </w:tc>
        <w:tc>
          <w:tcPr>
            <w:tcW w:w="14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F5AB7FA" w14:textId="77777777" w:rsidR="00CA6716" w:rsidRPr="00CE2231" w:rsidRDefault="00CA6716">
            <w:pPr>
              <w:widowControl w:val="0"/>
              <w:spacing w:after="0"/>
              <w:jc w:val="center"/>
              <w:rPr>
                <w:rFonts w:cs="Calibri"/>
                <w:bCs/>
                <w:sz w:val="24"/>
                <w:szCs w:val="24"/>
                <w:lang w:eastAsia="pl-PL"/>
              </w:rPr>
            </w:pPr>
            <w:r w:rsidRPr="00CE2231">
              <w:rPr>
                <w:rFonts w:cs="Calibri"/>
                <w:bCs/>
                <w:sz w:val="24"/>
                <w:szCs w:val="24"/>
                <w:lang w:eastAsia="pl-PL"/>
              </w:rPr>
              <w:t>0-3 pkt</w:t>
            </w:r>
          </w:p>
        </w:tc>
      </w:tr>
      <w:tr w:rsidR="00CA6716" w14:paraId="210C3CF1" w14:textId="5FEC35AB" w:rsidTr="00CA6716">
        <w:trPr>
          <w:trHeight w:val="25"/>
        </w:trPr>
        <w:tc>
          <w:tcPr>
            <w:tcW w:w="566" w:type="dxa"/>
            <w:tcBorders>
              <w:top w:val="single" w:sz="4" w:space="0" w:color="92D050"/>
              <w:left w:val="single" w:sz="4" w:space="0" w:color="92D050"/>
              <w:bottom w:val="single" w:sz="4" w:space="0" w:color="92D050"/>
              <w:right w:val="single" w:sz="4" w:space="0" w:color="92D050"/>
            </w:tcBorders>
            <w:vAlign w:val="center"/>
          </w:tcPr>
          <w:p w14:paraId="778A62B8" w14:textId="77777777" w:rsidR="00CA6716" w:rsidRPr="00CE2231" w:rsidRDefault="00CA6716">
            <w:pPr>
              <w:widowControl w:val="0"/>
              <w:spacing w:after="0"/>
              <w:rPr>
                <w:rFonts w:cs="Calibri"/>
                <w:sz w:val="24"/>
                <w:szCs w:val="24"/>
              </w:rPr>
            </w:pPr>
            <w:r w:rsidRPr="00CE2231">
              <w:rPr>
                <w:rFonts w:cs="Calibri"/>
                <w:sz w:val="24"/>
                <w:szCs w:val="24"/>
              </w:rPr>
              <w:t>2.</w:t>
            </w:r>
          </w:p>
        </w:tc>
        <w:tc>
          <w:tcPr>
            <w:tcW w:w="1847" w:type="dxa"/>
            <w:tcBorders>
              <w:top w:val="single" w:sz="4" w:space="0" w:color="92D050"/>
              <w:left w:val="single" w:sz="4" w:space="0" w:color="92D050"/>
              <w:bottom w:val="single" w:sz="4" w:space="0" w:color="92D050"/>
              <w:right w:val="single" w:sz="4" w:space="0" w:color="92D050"/>
            </w:tcBorders>
            <w:vAlign w:val="center"/>
          </w:tcPr>
          <w:p w14:paraId="12FA1AFE" w14:textId="77777777" w:rsidR="00CA6716" w:rsidRPr="00CE2231" w:rsidRDefault="00CA6716">
            <w:pPr>
              <w:widowControl w:val="0"/>
              <w:spacing w:after="0"/>
              <w:rPr>
                <w:rFonts w:cs="Calibri"/>
                <w:sz w:val="24"/>
                <w:szCs w:val="24"/>
                <w:lang w:eastAsia="pl-PL"/>
              </w:rPr>
            </w:pPr>
            <w:r w:rsidRPr="00CE2231">
              <w:rPr>
                <w:rFonts w:cs="Calibri"/>
                <w:sz w:val="24"/>
                <w:szCs w:val="24"/>
                <w:lang w:eastAsia="pl-PL"/>
              </w:rPr>
              <w:t xml:space="preserve">Ograniczenie emisji gazów cieplarnianych </w:t>
            </w:r>
          </w:p>
          <w:p w14:paraId="1FEA365A" w14:textId="77777777" w:rsidR="00CA6716" w:rsidRPr="00CE2231" w:rsidRDefault="00CA6716">
            <w:pPr>
              <w:widowControl w:val="0"/>
              <w:spacing w:after="0"/>
              <w:rPr>
                <w:rFonts w:cs="Calibri"/>
                <w:sz w:val="24"/>
                <w:szCs w:val="24"/>
                <w:shd w:val="clear" w:color="auto" w:fill="FFFF00"/>
                <w:lang w:eastAsia="pl-PL"/>
              </w:rPr>
            </w:pPr>
          </w:p>
        </w:tc>
        <w:tc>
          <w:tcPr>
            <w:tcW w:w="9212" w:type="dxa"/>
            <w:tcBorders>
              <w:top w:val="single" w:sz="4" w:space="0" w:color="92D050"/>
              <w:left w:val="single" w:sz="4" w:space="0" w:color="92D050"/>
              <w:bottom w:val="single" w:sz="4" w:space="0" w:color="92D050"/>
              <w:right w:val="single" w:sz="4" w:space="0" w:color="92D050"/>
            </w:tcBorders>
            <w:vAlign w:val="center"/>
          </w:tcPr>
          <w:p w14:paraId="1ADACFC0" w14:textId="61AAC808" w:rsidR="00CA6716" w:rsidRPr="00CE2231" w:rsidRDefault="00CA6716" w:rsidP="00DB15D2">
            <w:pPr>
              <w:pStyle w:val="Akapitzlist"/>
              <w:widowControl w:val="0"/>
              <w:spacing w:after="0"/>
              <w:ind w:left="0"/>
              <w:contextualSpacing w:val="0"/>
              <w:rPr>
                <w:rFonts w:cs="Calibri"/>
                <w:color w:val="000000"/>
                <w:sz w:val="24"/>
                <w:szCs w:val="24"/>
                <w:lang w:eastAsia="pl-PL"/>
              </w:rPr>
            </w:pPr>
            <w:r w:rsidRPr="00CE2231">
              <w:rPr>
                <w:rFonts w:cs="Calibri"/>
                <w:color w:val="000000"/>
                <w:sz w:val="24"/>
                <w:szCs w:val="24"/>
                <w:lang w:eastAsia="pl-PL"/>
              </w:rPr>
              <w:t>Premiowane będą projekty, które w największym stopniu wpłyną na redukcję emisji CO</w:t>
            </w:r>
            <w:r w:rsidRPr="00CE2231">
              <w:rPr>
                <w:rFonts w:cs="Calibri"/>
                <w:color w:val="000000"/>
                <w:sz w:val="24"/>
                <w:szCs w:val="24"/>
                <w:vertAlign w:val="subscript"/>
                <w:lang w:eastAsia="pl-PL"/>
              </w:rPr>
              <w:t>2</w:t>
            </w:r>
            <w:r w:rsidRPr="00CE2231">
              <w:rPr>
                <w:rFonts w:cs="Calibri"/>
                <w:color w:val="000000"/>
                <w:sz w:val="24"/>
                <w:szCs w:val="24"/>
                <w:lang w:eastAsia="pl-PL"/>
              </w:rPr>
              <w:t>.</w:t>
            </w:r>
          </w:p>
          <w:p w14:paraId="5760CA0C" w14:textId="04F45E29" w:rsidR="00CA6716" w:rsidRPr="00CE2231" w:rsidRDefault="00CA6716" w:rsidP="00482E9F">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Ranking w oparciu o wartość wskaźnika zadeklarowanego we wniosku o dofinansowanie projektu.</w:t>
            </w:r>
          </w:p>
          <w:p w14:paraId="65E09203" w14:textId="5F3B4028" w:rsidR="00CA6716" w:rsidRDefault="00CA6716" w:rsidP="00DB15D2">
            <w:pPr>
              <w:pStyle w:val="Akapitzlist"/>
              <w:widowControl w:val="0"/>
              <w:spacing w:after="120"/>
              <w:ind w:left="0"/>
              <w:contextualSpacing w:val="0"/>
              <w:rPr>
                <w:rFonts w:cs="Calibri"/>
                <w:color w:val="000000"/>
                <w:sz w:val="24"/>
                <w:szCs w:val="24"/>
                <w:lang w:eastAsia="pl-PL"/>
              </w:rPr>
            </w:pPr>
            <w:r w:rsidRPr="00CE2231">
              <w:rPr>
                <w:rFonts w:cs="Calibri"/>
                <w:color w:val="000000"/>
                <w:sz w:val="24"/>
                <w:szCs w:val="24"/>
                <w:lang w:eastAsia="pl-PL"/>
              </w:rPr>
              <w:t>Odpowiednią ilość punktów przydziela się dla określonego przedziału wartości wskaźnika. Ilość przedziałów zależy od ilości ocenianych projektów, a zakwalifikowanie do konkretnego przedziału uzależnione jest od wartości wskaźnika.</w:t>
            </w:r>
          </w:p>
          <w:p w14:paraId="37340B45" w14:textId="2DCD03D7" w:rsidR="00CA6716" w:rsidRPr="00DB15D2" w:rsidRDefault="00CA6716" w:rsidP="00F66DF4">
            <w:pPr>
              <w:autoSpaceDE w:val="0"/>
              <w:autoSpaceDN w:val="0"/>
              <w:adjustRightInd w:val="0"/>
              <w:spacing w:after="0"/>
              <w:rPr>
                <w:rFonts w:cstheme="minorHAnsi"/>
                <w:sz w:val="24"/>
                <w:szCs w:val="24"/>
                <w:lang w:eastAsia="pl-PL"/>
              </w:rPr>
            </w:pPr>
            <w:r>
              <w:rPr>
                <w:rFonts w:cstheme="minorHAnsi"/>
                <w:sz w:val="24"/>
                <w:szCs w:val="24"/>
              </w:rPr>
              <w:lastRenderedPageBreak/>
              <w:t>Kryterium weryfikowane na podstawie zapisów wniosku o dofinansowanie i załączników i/lub wyjaśnień udzielonych przez Wnioskodawcę</w:t>
            </w:r>
            <w:r w:rsidRPr="00D14ED5">
              <w:rPr>
                <w:rFonts w:ascii="Calibri" w:hAnsi="Calibri" w:cs="Calibri"/>
                <w:sz w:val="24"/>
                <w:szCs w:val="24"/>
              </w:rPr>
              <w:t>.</w:t>
            </w:r>
          </w:p>
        </w:tc>
        <w:tc>
          <w:tcPr>
            <w:tcW w:w="170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DDB14E9" w14:textId="77777777" w:rsidR="00CA6716" w:rsidRPr="00CE2231" w:rsidRDefault="00CA6716" w:rsidP="00DB15D2">
            <w:pPr>
              <w:widowControl w:val="0"/>
              <w:spacing w:after="0"/>
              <w:jc w:val="center"/>
              <w:rPr>
                <w:rFonts w:cs="Calibri"/>
                <w:bCs/>
                <w:sz w:val="24"/>
                <w:szCs w:val="24"/>
                <w:lang w:eastAsia="pl-PL"/>
              </w:rPr>
            </w:pPr>
            <w:r w:rsidRPr="00CE2231">
              <w:rPr>
                <w:rFonts w:cs="Calibri"/>
                <w:bCs/>
                <w:sz w:val="24"/>
                <w:szCs w:val="24"/>
                <w:lang w:eastAsia="pl-PL"/>
              </w:rPr>
              <w:lastRenderedPageBreak/>
              <w:t>Kryterium premiujące</w:t>
            </w:r>
          </w:p>
          <w:p w14:paraId="18BE0377" w14:textId="77777777" w:rsidR="00CA6716" w:rsidRPr="00CE2231" w:rsidRDefault="00CA6716" w:rsidP="00DB15D2">
            <w:pPr>
              <w:widowControl w:val="0"/>
              <w:spacing w:after="0"/>
              <w:jc w:val="center"/>
              <w:rPr>
                <w:rFonts w:cs="Calibri"/>
                <w:bCs/>
                <w:sz w:val="24"/>
                <w:szCs w:val="24"/>
                <w:lang w:eastAsia="pl-PL"/>
              </w:rPr>
            </w:pPr>
          </w:p>
          <w:p w14:paraId="73630B8E" w14:textId="77777777" w:rsidR="00CA6716" w:rsidRPr="00CE2231" w:rsidRDefault="00CA6716" w:rsidP="00DB15D2">
            <w:pPr>
              <w:widowControl w:val="0"/>
              <w:spacing w:after="0"/>
              <w:jc w:val="center"/>
              <w:rPr>
                <w:rFonts w:cs="Calibri"/>
                <w:bCs/>
                <w:sz w:val="24"/>
                <w:szCs w:val="24"/>
                <w:lang w:eastAsia="pl-PL"/>
              </w:rPr>
            </w:pPr>
            <w:r w:rsidRPr="00CE2231">
              <w:rPr>
                <w:rFonts w:cs="Calibri"/>
                <w:bCs/>
                <w:sz w:val="24"/>
                <w:szCs w:val="24"/>
                <w:lang w:eastAsia="pl-PL"/>
              </w:rPr>
              <w:t>rozstrzygające nr 1</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BF4870" w14:textId="77777777" w:rsidR="00CA6716" w:rsidRPr="00CE2231" w:rsidRDefault="00CA6716">
            <w:pPr>
              <w:widowControl w:val="0"/>
              <w:spacing w:after="0"/>
              <w:jc w:val="center"/>
              <w:rPr>
                <w:rFonts w:cs="Calibri"/>
                <w:bCs/>
                <w:sz w:val="24"/>
                <w:szCs w:val="24"/>
                <w:lang w:eastAsia="pl-PL"/>
              </w:rPr>
            </w:pPr>
            <w:r w:rsidRPr="00CE2231">
              <w:rPr>
                <w:rFonts w:cs="Calibri"/>
                <w:bCs/>
                <w:sz w:val="24"/>
                <w:szCs w:val="24"/>
                <w:lang w:eastAsia="pl-PL"/>
              </w:rPr>
              <w:t>3</w:t>
            </w:r>
          </w:p>
        </w:tc>
        <w:tc>
          <w:tcPr>
            <w:tcW w:w="14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A4AC248" w14:textId="77777777" w:rsidR="00CA6716" w:rsidRPr="00CE2231" w:rsidRDefault="00CA6716">
            <w:pPr>
              <w:widowControl w:val="0"/>
              <w:spacing w:after="0"/>
              <w:jc w:val="center"/>
              <w:rPr>
                <w:rFonts w:cs="Calibri"/>
                <w:bCs/>
                <w:sz w:val="24"/>
                <w:szCs w:val="24"/>
                <w:lang w:eastAsia="pl-PL"/>
              </w:rPr>
            </w:pPr>
            <w:r w:rsidRPr="00CE2231">
              <w:rPr>
                <w:rFonts w:cs="Calibri"/>
                <w:bCs/>
                <w:sz w:val="24"/>
                <w:szCs w:val="24"/>
                <w:lang w:eastAsia="pl-PL"/>
              </w:rPr>
              <w:t>1-4 pkt</w:t>
            </w:r>
          </w:p>
        </w:tc>
      </w:tr>
      <w:tr w:rsidR="00CA6716" w14:paraId="5E34E6D4" w14:textId="71E2858C" w:rsidTr="00CA6716">
        <w:trPr>
          <w:trHeight w:val="644"/>
        </w:trPr>
        <w:tc>
          <w:tcPr>
            <w:tcW w:w="566" w:type="dxa"/>
            <w:tcBorders>
              <w:left w:val="single" w:sz="4" w:space="0" w:color="92D050"/>
              <w:bottom w:val="single" w:sz="4" w:space="0" w:color="92D050"/>
              <w:right w:val="single" w:sz="4" w:space="0" w:color="92D050"/>
            </w:tcBorders>
            <w:vAlign w:val="center"/>
          </w:tcPr>
          <w:p w14:paraId="3F687CC1" w14:textId="4ADD1147" w:rsidR="00CA6716" w:rsidRPr="00CE2231" w:rsidRDefault="00CA6716" w:rsidP="005F2857">
            <w:pPr>
              <w:widowControl w:val="0"/>
              <w:spacing w:after="0"/>
              <w:rPr>
                <w:rFonts w:cs="Calibri"/>
                <w:sz w:val="24"/>
                <w:szCs w:val="24"/>
              </w:rPr>
            </w:pPr>
            <w:r>
              <w:rPr>
                <w:rFonts w:cs="Calibri"/>
                <w:sz w:val="24"/>
                <w:szCs w:val="24"/>
              </w:rPr>
              <w:t>3</w:t>
            </w:r>
            <w:r w:rsidRPr="00A3574B">
              <w:rPr>
                <w:rFonts w:cs="Calibri"/>
                <w:sz w:val="24"/>
                <w:szCs w:val="24"/>
              </w:rPr>
              <w:t>.</w:t>
            </w:r>
          </w:p>
        </w:tc>
        <w:tc>
          <w:tcPr>
            <w:tcW w:w="1847" w:type="dxa"/>
            <w:tcBorders>
              <w:left w:val="single" w:sz="4" w:space="0" w:color="92D050"/>
              <w:bottom w:val="single" w:sz="4" w:space="0" w:color="92D050"/>
              <w:right w:val="single" w:sz="4" w:space="0" w:color="92D050"/>
            </w:tcBorders>
            <w:vAlign w:val="center"/>
          </w:tcPr>
          <w:p w14:paraId="2686D134" w14:textId="51FE8FD2" w:rsidR="00CA6716" w:rsidRPr="00CE2231" w:rsidRDefault="00CA6716" w:rsidP="005F2857">
            <w:pPr>
              <w:widowControl w:val="0"/>
              <w:spacing w:after="0"/>
              <w:rPr>
                <w:rFonts w:cs="Calibri"/>
                <w:sz w:val="24"/>
                <w:szCs w:val="24"/>
                <w:lang w:eastAsia="pl-PL"/>
              </w:rPr>
            </w:pPr>
            <w:r w:rsidRPr="00A3574B">
              <w:rPr>
                <w:rFonts w:cs="Calibri"/>
                <w:sz w:val="24"/>
                <w:szCs w:val="24"/>
              </w:rPr>
              <w:t xml:space="preserve">Poprawa wewnętrznej dostępności komunikacyjnej </w:t>
            </w:r>
            <w:r>
              <w:rPr>
                <w:rFonts w:cs="Calibri"/>
                <w:sz w:val="24"/>
                <w:szCs w:val="24"/>
              </w:rPr>
              <w:br/>
            </w:r>
            <w:r w:rsidRPr="00A3574B">
              <w:rPr>
                <w:rFonts w:cs="Calibri"/>
                <w:sz w:val="24"/>
                <w:szCs w:val="24"/>
              </w:rPr>
              <w:t>w miastach subregionalnych i/lub ich obszarów funkcjonalnych</w:t>
            </w:r>
          </w:p>
        </w:tc>
        <w:tc>
          <w:tcPr>
            <w:tcW w:w="9212" w:type="dxa"/>
            <w:tcBorders>
              <w:left w:val="single" w:sz="4" w:space="0" w:color="92D050"/>
              <w:bottom w:val="single" w:sz="4" w:space="0" w:color="92D050"/>
              <w:right w:val="single" w:sz="4" w:space="0" w:color="92D050"/>
            </w:tcBorders>
            <w:vAlign w:val="center"/>
          </w:tcPr>
          <w:p w14:paraId="2DE05FBB" w14:textId="77777777" w:rsidR="00CA6716" w:rsidRPr="00A3574B" w:rsidRDefault="00CA6716" w:rsidP="005F2857">
            <w:pPr>
              <w:widowControl w:val="0"/>
              <w:spacing w:after="120"/>
              <w:rPr>
                <w:rFonts w:cs="Calibri"/>
                <w:sz w:val="24"/>
                <w:szCs w:val="24"/>
                <w:lang w:eastAsia="pl-PL"/>
              </w:rPr>
            </w:pPr>
            <w:r w:rsidRPr="00A3574B">
              <w:rPr>
                <w:rFonts w:cs="Calibri"/>
                <w:sz w:val="24"/>
                <w:szCs w:val="24"/>
                <w:lang w:eastAsia="pl-PL"/>
              </w:rPr>
              <w:t xml:space="preserve">Punktowane będą projekty, które przyczynią się do integracji i poprawy dostępności różnych środków transportu publicznego na obszarze, na którym realizowany jest projekt oraz zwiększą mobilność mieszkańców miast subregionalnych i/lub ich obszarów funkcjonalnych: </w:t>
            </w:r>
          </w:p>
          <w:p w14:paraId="13C546C1" w14:textId="3ED49BB4" w:rsidR="00CA6716" w:rsidRPr="00A3574B" w:rsidRDefault="00CA6716" w:rsidP="005F2857">
            <w:pPr>
              <w:widowControl w:val="0"/>
              <w:spacing w:after="120"/>
              <w:rPr>
                <w:rFonts w:cs="Calibri"/>
                <w:sz w:val="24"/>
                <w:szCs w:val="24"/>
                <w:lang w:eastAsia="pl-PL"/>
              </w:rPr>
            </w:pPr>
            <w:r w:rsidRPr="00A3574B">
              <w:rPr>
                <w:rFonts w:cs="Calibri"/>
                <w:sz w:val="24"/>
                <w:szCs w:val="24"/>
                <w:lang w:eastAsia="pl-PL"/>
              </w:rPr>
              <w:t>1 pkt – projekt dotyczy poprawy skomunikowania „do” lub „z” rdzenia obszaru miejskiego</w:t>
            </w:r>
            <w:r>
              <w:rPr>
                <w:rFonts w:cs="Calibri"/>
                <w:sz w:val="24"/>
                <w:szCs w:val="24"/>
                <w:lang w:eastAsia="pl-PL"/>
              </w:rPr>
              <w:t>,</w:t>
            </w:r>
          </w:p>
          <w:p w14:paraId="123807F9" w14:textId="2D192ABF" w:rsidR="00CA6716" w:rsidRPr="00A3574B" w:rsidRDefault="00CA6716" w:rsidP="005F2857">
            <w:pPr>
              <w:widowControl w:val="0"/>
              <w:spacing w:after="120"/>
              <w:rPr>
                <w:rFonts w:cs="Calibri"/>
                <w:sz w:val="24"/>
                <w:szCs w:val="24"/>
                <w:lang w:eastAsia="pl-PL"/>
              </w:rPr>
            </w:pPr>
            <w:r w:rsidRPr="00A3574B">
              <w:rPr>
                <w:rFonts w:cs="Calibri"/>
                <w:sz w:val="24"/>
                <w:szCs w:val="24"/>
                <w:lang w:eastAsia="pl-PL"/>
              </w:rPr>
              <w:t>1 pkt – projekt dotyczy jednego z głównych ciągów komunikacyjnych w miastach subregionalnych i/lub ich obszarów funkcjonalnych</w:t>
            </w:r>
            <w:r>
              <w:rPr>
                <w:rFonts w:cs="Calibri"/>
                <w:sz w:val="24"/>
                <w:szCs w:val="24"/>
                <w:lang w:eastAsia="pl-PL"/>
              </w:rPr>
              <w:t>,</w:t>
            </w:r>
          </w:p>
          <w:p w14:paraId="0A96953B" w14:textId="77777777" w:rsidR="00CA6716" w:rsidRPr="00A3574B" w:rsidRDefault="00CA6716" w:rsidP="005F2857">
            <w:pPr>
              <w:widowControl w:val="0"/>
              <w:spacing w:after="120"/>
              <w:rPr>
                <w:rFonts w:cs="Calibri"/>
                <w:sz w:val="24"/>
                <w:szCs w:val="24"/>
                <w:lang w:eastAsia="pl-PL"/>
              </w:rPr>
            </w:pPr>
            <w:r w:rsidRPr="00A3574B">
              <w:rPr>
                <w:rFonts w:cs="Calibri"/>
                <w:sz w:val="24"/>
                <w:szCs w:val="24"/>
                <w:lang w:eastAsia="pl-PL"/>
              </w:rPr>
              <w:t>1 pkt – projekt umożliwia/ułatwia skomunikowanie ośrodków edukacji, ochrony zdrowia, stref aktywności gospodarczej, skupisk miejsc pracy oraz osiedli mieszkaniowych.</w:t>
            </w:r>
          </w:p>
          <w:p w14:paraId="1D24BEF4" w14:textId="77777777" w:rsidR="00CA6716" w:rsidRDefault="00CA6716" w:rsidP="005F2857">
            <w:pPr>
              <w:pStyle w:val="Akapitzlist"/>
              <w:widowControl w:val="0"/>
              <w:spacing w:after="120"/>
              <w:ind w:left="0"/>
              <w:contextualSpacing w:val="0"/>
              <w:rPr>
                <w:rFonts w:cs="Calibri"/>
                <w:sz w:val="24"/>
                <w:szCs w:val="24"/>
                <w:lang w:eastAsia="pl-PL"/>
              </w:rPr>
            </w:pPr>
            <w:r w:rsidRPr="00A3574B">
              <w:rPr>
                <w:rFonts w:cs="Calibri"/>
                <w:sz w:val="24"/>
                <w:szCs w:val="24"/>
                <w:lang w:eastAsia="pl-PL"/>
              </w:rPr>
              <w:t>Uzyskane punkty sumują się.</w:t>
            </w:r>
          </w:p>
          <w:p w14:paraId="1D14909C" w14:textId="39899A7C" w:rsidR="00CA6716" w:rsidRPr="00CE2231" w:rsidRDefault="00CA6716" w:rsidP="003B23B5">
            <w:pPr>
              <w:pStyle w:val="Akapitzlist"/>
              <w:widowControl w:val="0"/>
              <w:spacing w:after="0"/>
              <w:ind w:left="0"/>
              <w:contextualSpacing w:val="0"/>
              <w:rPr>
                <w:rFonts w:cs="Calibri"/>
                <w:color w:val="000000"/>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left w:val="single" w:sz="4" w:space="0" w:color="92D050"/>
              <w:bottom w:val="single" w:sz="4" w:space="0" w:color="92D050"/>
              <w:right w:val="single" w:sz="4" w:space="0" w:color="92D050"/>
            </w:tcBorders>
            <w:shd w:val="clear" w:color="auto" w:fill="FFFFFF"/>
            <w:vAlign w:val="center"/>
          </w:tcPr>
          <w:p w14:paraId="38FC668C" w14:textId="31D1FC62" w:rsidR="00CA6716" w:rsidRPr="00CE2231" w:rsidRDefault="00CA6716" w:rsidP="008B4F80">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45F6D357" w14:textId="5FCBF78B" w:rsidR="00CA6716" w:rsidRPr="00CE2231" w:rsidRDefault="00CA6716" w:rsidP="005F2857">
            <w:pPr>
              <w:widowControl w:val="0"/>
              <w:spacing w:after="0"/>
              <w:jc w:val="center"/>
              <w:rPr>
                <w:rFonts w:cs="Calibri"/>
                <w:bCs/>
                <w:sz w:val="24"/>
                <w:szCs w:val="24"/>
                <w:lang w:eastAsia="pl-PL"/>
              </w:rPr>
            </w:pPr>
            <w:r w:rsidRPr="00A3574B">
              <w:rPr>
                <w:rFonts w:cs="Calibri"/>
                <w:bCs/>
                <w:sz w:val="24"/>
                <w:szCs w:val="24"/>
                <w:lang w:eastAsia="pl-PL"/>
              </w:rPr>
              <w:t>3</w:t>
            </w:r>
          </w:p>
        </w:tc>
        <w:tc>
          <w:tcPr>
            <w:tcW w:w="1419" w:type="dxa"/>
            <w:tcBorders>
              <w:left w:val="single" w:sz="4" w:space="0" w:color="92D050"/>
              <w:bottom w:val="single" w:sz="4" w:space="0" w:color="92D050"/>
              <w:right w:val="single" w:sz="4" w:space="0" w:color="92D050"/>
            </w:tcBorders>
            <w:shd w:val="clear" w:color="auto" w:fill="FFFFFF"/>
            <w:vAlign w:val="center"/>
          </w:tcPr>
          <w:p w14:paraId="29167936" w14:textId="2EE47553" w:rsidR="00CA6716" w:rsidRPr="00CE2231" w:rsidRDefault="00CA6716" w:rsidP="005F2857">
            <w:pPr>
              <w:widowControl w:val="0"/>
              <w:spacing w:after="0"/>
              <w:jc w:val="center"/>
              <w:rPr>
                <w:rFonts w:cs="Calibri"/>
                <w:bCs/>
                <w:sz w:val="24"/>
                <w:szCs w:val="24"/>
                <w:lang w:eastAsia="pl-PL"/>
              </w:rPr>
            </w:pPr>
            <w:r w:rsidRPr="00A3574B">
              <w:rPr>
                <w:rFonts w:cs="Calibri"/>
                <w:bCs/>
                <w:sz w:val="24"/>
                <w:szCs w:val="24"/>
                <w:lang w:eastAsia="pl-PL"/>
              </w:rPr>
              <w:t>1-3 pkt</w:t>
            </w:r>
          </w:p>
        </w:tc>
      </w:tr>
      <w:tr w:rsidR="00CA6716" w14:paraId="7C760E39" w14:textId="61422FC0" w:rsidTr="00CA6716">
        <w:trPr>
          <w:trHeight w:val="229"/>
        </w:trPr>
        <w:tc>
          <w:tcPr>
            <w:tcW w:w="566" w:type="dxa"/>
            <w:tcBorders>
              <w:top w:val="single" w:sz="4" w:space="0" w:color="92D050"/>
              <w:left w:val="single" w:sz="4" w:space="0" w:color="92D050"/>
              <w:bottom w:val="single" w:sz="4" w:space="0" w:color="92D050"/>
              <w:right w:val="single" w:sz="4" w:space="0" w:color="92D050"/>
            </w:tcBorders>
            <w:vAlign w:val="center"/>
          </w:tcPr>
          <w:p w14:paraId="09FA6F29" w14:textId="4A3CB1AC" w:rsidR="00CA6716" w:rsidRPr="00CE2231" w:rsidRDefault="00CA6716" w:rsidP="005F2857">
            <w:pPr>
              <w:widowControl w:val="0"/>
              <w:spacing w:after="0"/>
              <w:rPr>
                <w:rFonts w:cs="Calibri"/>
                <w:sz w:val="24"/>
                <w:szCs w:val="24"/>
              </w:rPr>
            </w:pPr>
            <w:r w:rsidRPr="00A3574B">
              <w:rPr>
                <w:rFonts w:cs="Calibri"/>
                <w:sz w:val="24"/>
                <w:szCs w:val="24"/>
              </w:rPr>
              <w:t>4.</w:t>
            </w:r>
          </w:p>
        </w:tc>
        <w:tc>
          <w:tcPr>
            <w:tcW w:w="1847" w:type="dxa"/>
            <w:tcBorders>
              <w:top w:val="single" w:sz="4" w:space="0" w:color="92D050"/>
              <w:left w:val="single" w:sz="4" w:space="0" w:color="92D050"/>
              <w:bottom w:val="single" w:sz="4" w:space="0" w:color="92D050"/>
              <w:right w:val="single" w:sz="4" w:space="0" w:color="92D050"/>
            </w:tcBorders>
            <w:vAlign w:val="center"/>
          </w:tcPr>
          <w:p w14:paraId="67873329" w14:textId="1578F6FE" w:rsidR="00CA6716" w:rsidRPr="00CE2231" w:rsidRDefault="00CA6716" w:rsidP="005F2857">
            <w:pPr>
              <w:widowControl w:val="0"/>
              <w:spacing w:after="0"/>
              <w:rPr>
                <w:rFonts w:cs="Calibri"/>
                <w:sz w:val="24"/>
                <w:szCs w:val="24"/>
                <w:lang w:eastAsia="pl-PL"/>
              </w:rPr>
            </w:pPr>
            <w:r w:rsidRPr="008B3505">
              <w:rPr>
                <w:rFonts w:cs="Calibri"/>
                <w:sz w:val="24"/>
                <w:szCs w:val="24"/>
              </w:rPr>
              <w:t>Komplementarność projektu</w:t>
            </w:r>
          </w:p>
        </w:tc>
        <w:tc>
          <w:tcPr>
            <w:tcW w:w="9212" w:type="dxa"/>
            <w:tcBorders>
              <w:top w:val="single" w:sz="4" w:space="0" w:color="92D050"/>
              <w:left w:val="single" w:sz="4" w:space="0" w:color="92D050"/>
              <w:bottom w:val="single" w:sz="4" w:space="0" w:color="92D050"/>
              <w:right w:val="single" w:sz="4" w:space="0" w:color="92D050"/>
            </w:tcBorders>
            <w:vAlign w:val="center"/>
          </w:tcPr>
          <w:p w14:paraId="5CA82A24" w14:textId="77777777" w:rsidR="00CA6716" w:rsidRPr="008B3505" w:rsidRDefault="00CA6716" w:rsidP="005F2857">
            <w:pPr>
              <w:widowControl w:val="0"/>
              <w:spacing w:before="40" w:after="120"/>
              <w:rPr>
                <w:rFonts w:cs="Calibri"/>
                <w:sz w:val="24"/>
                <w:szCs w:val="24"/>
                <w:lang w:eastAsia="pl-PL"/>
              </w:rPr>
            </w:pPr>
            <w:r w:rsidRPr="008B3505">
              <w:rPr>
                <w:rFonts w:cs="Calibri"/>
                <w:sz w:val="24"/>
                <w:szCs w:val="24"/>
                <w:lang w:eastAsia="pl-PL"/>
              </w:rPr>
              <w:t>Oceniane będzie logiczne i tematyczne powiązanie projektu z innymi realizowanymi/zrealizowanymi inwestycjami w tym samym obszarze, stanowiące uzupełnienie/ciąg dalszy projektu/inwestycji.</w:t>
            </w:r>
          </w:p>
          <w:p w14:paraId="3A6585F0" w14:textId="659437A8" w:rsidR="00CA6716" w:rsidRPr="008B3505" w:rsidRDefault="00CA6716" w:rsidP="00F872BD">
            <w:pPr>
              <w:widowControl w:val="0"/>
              <w:spacing w:before="40" w:after="60" w:line="240" w:lineRule="auto"/>
              <w:rPr>
                <w:rFonts w:cs="Calibri"/>
                <w:sz w:val="24"/>
                <w:szCs w:val="24"/>
                <w:lang w:eastAsia="pl-PL"/>
              </w:rPr>
            </w:pPr>
            <w:r w:rsidRPr="008B3505">
              <w:rPr>
                <w:rFonts w:cs="Calibri"/>
                <w:sz w:val="24"/>
                <w:szCs w:val="24"/>
                <w:lang w:eastAsia="pl-PL"/>
              </w:rPr>
              <w:t>0 pkt – brak komplementarności</w:t>
            </w:r>
            <w:r>
              <w:rPr>
                <w:rFonts w:cs="Calibri"/>
                <w:sz w:val="24"/>
                <w:szCs w:val="24"/>
                <w:lang w:eastAsia="pl-PL"/>
              </w:rPr>
              <w:t>,</w:t>
            </w:r>
          </w:p>
          <w:p w14:paraId="63D02060" w14:textId="77AC4B1F" w:rsidR="00CA6716" w:rsidRPr="008B3505" w:rsidRDefault="00CA6716" w:rsidP="00F872BD">
            <w:pPr>
              <w:widowControl w:val="0"/>
              <w:spacing w:before="40" w:after="60" w:line="240" w:lineRule="auto"/>
              <w:rPr>
                <w:rFonts w:cs="Calibri"/>
                <w:sz w:val="24"/>
                <w:szCs w:val="24"/>
                <w:lang w:eastAsia="pl-PL"/>
              </w:rPr>
            </w:pPr>
            <w:r w:rsidRPr="008B3505">
              <w:rPr>
                <w:rFonts w:cs="Calibri"/>
                <w:sz w:val="24"/>
                <w:szCs w:val="24"/>
                <w:lang w:eastAsia="pl-PL"/>
              </w:rPr>
              <w:t xml:space="preserve">1 pkt – komplementarność z 1 </w:t>
            </w:r>
            <w:r>
              <w:rPr>
                <w:rFonts w:cs="Calibri"/>
                <w:sz w:val="24"/>
                <w:szCs w:val="24"/>
                <w:lang w:eastAsia="pl-PL"/>
              </w:rPr>
              <w:t>p</w:t>
            </w:r>
            <w:r w:rsidRPr="008B3505">
              <w:rPr>
                <w:rFonts w:cs="Calibri"/>
                <w:sz w:val="24"/>
                <w:szCs w:val="24"/>
                <w:lang w:eastAsia="pl-PL"/>
              </w:rPr>
              <w:t>rojektem/</w:t>
            </w:r>
            <w:r>
              <w:rPr>
                <w:rFonts w:cs="Calibri"/>
                <w:sz w:val="24"/>
                <w:szCs w:val="24"/>
                <w:lang w:eastAsia="pl-PL"/>
              </w:rPr>
              <w:t xml:space="preserve"> </w:t>
            </w:r>
            <w:r w:rsidRPr="008B3505">
              <w:rPr>
                <w:rFonts w:cs="Calibri"/>
                <w:sz w:val="24"/>
                <w:szCs w:val="24"/>
                <w:lang w:eastAsia="pl-PL"/>
              </w:rPr>
              <w:t>inwestycją</w:t>
            </w:r>
            <w:r>
              <w:rPr>
                <w:rFonts w:cs="Calibri"/>
                <w:sz w:val="24"/>
                <w:szCs w:val="24"/>
                <w:lang w:eastAsia="pl-PL"/>
              </w:rPr>
              <w:t>,</w:t>
            </w:r>
          </w:p>
          <w:p w14:paraId="4276FB0F" w14:textId="34CE138D" w:rsidR="00CA6716" w:rsidRPr="008B3505" w:rsidRDefault="00CA6716" w:rsidP="00F872BD">
            <w:pPr>
              <w:widowControl w:val="0"/>
              <w:spacing w:before="40" w:after="60" w:line="240" w:lineRule="auto"/>
              <w:rPr>
                <w:rFonts w:cs="Calibri"/>
                <w:sz w:val="24"/>
                <w:szCs w:val="24"/>
                <w:lang w:eastAsia="pl-PL"/>
              </w:rPr>
            </w:pPr>
            <w:r>
              <w:rPr>
                <w:rFonts w:cs="Calibri"/>
                <w:sz w:val="24"/>
                <w:szCs w:val="24"/>
                <w:lang w:eastAsia="pl-PL"/>
              </w:rPr>
              <w:lastRenderedPageBreak/>
              <w:t>2 pkt – komplementarny z 2 p</w:t>
            </w:r>
            <w:r w:rsidRPr="008B3505">
              <w:rPr>
                <w:rFonts w:cs="Calibri"/>
                <w:sz w:val="24"/>
                <w:szCs w:val="24"/>
                <w:lang w:eastAsia="pl-PL"/>
              </w:rPr>
              <w:t>rojektami/</w:t>
            </w:r>
            <w:r>
              <w:rPr>
                <w:rFonts w:cs="Calibri"/>
                <w:sz w:val="24"/>
                <w:szCs w:val="24"/>
                <w:lang w:eastAsia="pl-PL"/>
              </w:rPr>
              <w:t xml:space="preserve"> </w:t>
            </w:r>
            <w:r w:rsidRPr="008B3505">
              <w:rPr>
                <w:rFonts w:cs="Calibri"/>
                <w:sz w:val="24"/>
                <w:szCs w:val="24"/>
                <w:lang w:eastAsia="pl-PL"/>
              </w:rPr>
              <w:t>inwestycjami</w:t>
            </w:r>
            <w:r>
              <w:rPr>
                <w:rFonts w:cs="Calibri"/>
                <w:sz w:val="24"/>
                <w:szCs w:val="24"/>
                <w:lang w:eastAsia="pl-PL"/>
              </w:rPr>
              <w:t>,</w:t>
            </w:r>
          </w:p>
          <w:p w14:paraId="2C4D1E6D" w14:textId="71D9FAC7" w:rsidR="00CA6716" w:rsidRDefault="00CA6716" w:rsidP="00482E9F">
            <w:pPr>
              <w:widowControl w:val="0"/>
              <w:spacing w:after="120" w:line="240" w:lineRule="auto"/>
              <w:rPr>
                <w:rFonts w:cs="Calibri"/>
                <w:sz w:val="24"/>
                <w:szCs w:val="24"/>
                <w:lang w:eastAsia="pl-PL"/>
              </w:rPr>
            </w:pPr>
            <w:r w:rsidRPr="008B3505">
              <w:rPr>
                <w:rFonts w:cs="Calibri"/>
                <w:sz w:val="24"/>
                <w:szCs w:val="24"/>
                <w:lang w:eastAsia="pl-PL"/>
              </w:rPr>
              <w:t xml:space="preserve">3 pkt – komplementarny z </w:t>
            </w:r>
            <w:r>
              <w:rPr>
                <w:rFonts w:cs="Calibri"/>
                <w:sz w:val="24"/>
                <w:szCs w:val="24"/>
                <w:lang w:eastAsia="pl-PL"/>
              </w:rPr>
              <w:t xml:space="preserve">co najmniej </w:t>
            </w:r>
            <w:r w:rsidRPr="008B3505">
              <w:rPr>
                <w:rFonts w:cs="Calibri"/>
                <w:sz w:val="24"/>
                <w:szCs w:val="24"/>
                <w:lang w:eastAsia="pl-PL"/>
              </w:rPr>
              <w:t>3 projektami/inwestycjami</w:t>
            </w:r>
            <w:r>
              <w:rPr>
                <w:rFonts w:cs="Calibri"/>
                <w:sz w:val="24"/>
                <w:szCs w:val="24"/>
                <w:lang w:eastAsia="pl-PL"/>
              </w:rPr>
              <w:t>.</w:t>
            </w:r>
          </w:p>
          <w:p w14:paraId="48C29FBC" w14:textId="60D0CEA7" w:rsidR="00CA6716" w:rsidRPr="00CE2231" w:rsidRDefault="00CA6716" w:rsidP="003B23B5">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D76C217" w14:textId="6965A37A" w:rsidR="00CA6716" w:rsidRPr="00CE2231" w:rsidRDefault="00CA6716" w:rsidP="008B4F80">
            <w:pPr>
              <w:widowControl w:val="0"/>
              <w:spacing w:after="0"/>
              <w:jc w:val="center"/>
              <w:rPr>
                <w:rFonts w:cs="Calibri"/>
                <w:bCs/>
                <w:sz w:val="24"/>
                <w:szCs w:val="24"/>
                <w:lang w:eastAsia="pl-PL"/>
              </w:rPr>
            </w:pPr>
            <w:r w:rsidRPr="008B3505">
              <w:rPr>
                <w:rFonts w:cs="Calibri"/>
                <w:bCs/>
                <w:sz w:val="24"/>
                <w:szCs w:val="24"/>
                <w:lang w:eastAsia="pl-PL"/>
              </w:rPr>
              <w:lastRenderedPageBreak/>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000E18C" w14:textId="7B3D5F00" w:rsidR="00CA6716" w:rsidRPr="00CE2231" w:rsidRDefault="00CA6716" w:rsidP="005F2857">
            <w:pPr>
              <w:widowControl w:val="0"/>
              <w:spacing w:after="0"/>
              <w:jc w:val="center"/>
              <w:rPr>
                <w:rFonts w:cs="Calibri"/>
                <w:sz w:val="24"/>
                <w:szCs w:val="24"/>
                <w:lang w:eastAsia="pl-PL"/>
              </w:rPr>
            </w:pPr>
            <w:r w:rsidRPr="008B3505">
              <w:rPr>
                <w:rFonts w:cs="Calibri"/>
                <w:bCs/>
                <w:sz w:val="24"/>
                <w:szCs w:val="24"/>
                <w:lang w:eastAsia="pl-PL"/>
              </w:rPr>
              <w:t>2</w:t>
            </w:r>
          </w:p>
        </w:tc>
        <w:tc>
          <w:tcPr>
            <w:tcW w:w="14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CD96EA2" w14:textId="7C72817A" w:rsidR="00CA6716" w:rsidRPr="00CE2231" w:rsidRDefault="00CA6716" w:rsidP="005F2857">
            <w:pPr>
              <w:widowControl w:val="0"/>
              <w:spacing w:after="0"/>
              <w:jc w:val="center"/>
              <w:rPr>
                <w:rFonts w:cs="Calibri"/>
                <w:bCs/>
                <w:sz w:val="24"/>
                <w:szCs w:val="24"/>
                <w:lang w:eastAsia="pl-PL"/>
              </w:rPr>
            </w:pPr>
            <w:r w:rsidRPr="008B3505">
              <w:rPr>
                <w:rFonts w:cs="Calibri"/>
                <w:bCs/>
                <w:sz w:val="24"/>
                <w:szCs w:val="24"/>
                <w:lang w:eastAsia="pl-PL"/>
              </w:rPr>
              <w:t>0-3 pkt</w:t>
            </w:r>
          </w:p>
        </w:tc>
      </w:tr>
      <w:tr w:rsidR="00CA6716" w14:paraId="4603BE9A" w14:textId="74E75599" w:rsidTr="00CA6716">
        <w:trPr>
          <w:trHeight w:val="229"/>
        </w:trPr>
        <w:tc>
          <w:tcPr>
            <w:tcW w:w="566" w:type="dxa"/>
            <w:tcBorders>
              <w:top w:val="single" w:sz="4" w:space="0" w:color="92D050"/>
              <w:left w:val="single" w:sz="4" w:space="0" w:color="92D050"/>
              <w:bottom w:val="single" w:sz="4" w:space="0" w:color="92D050"/>
              <w:right w:val="single" w:sz="4" w:space="0" w:color="92D050"/>
            </w:tcBorders>
            <w:vAlign w:val="center"/>
          </w:tcPr>
          <w:p w14:paraId="2374FC38" w14:textId="32F94B8E" w:rsidR="00CA6716" w:rsidRDefault="00CA6716" w:rsidP="008B4F80">
            <w:pPr>
              <w:widowControl w:val="0"/>
              <w:spacing w:after="0"/>
              <w:rPr>
                <w:rFonts w:cs="Calibri"/>
                <w:sz w:val="24"/>
                <w:szCs w:val="24"/>
              </w:rPr>
            </w:pPr>
            <w:r>
              <w:rPr>
                <w:rFonts w:cs="Calibri"/>
                <w:sz w:val="24"/>
                <w:szCs w:val="24"/>
              </w:rPr>
              <w:t>5</w:t>
            </w:r>
            <w:r w:rsidRPr="00A3574B">
              <w:rPr>
                <w:rFonts w:cs="Calibri"/>
                <w:sz w:val="24"/>
                <w:szCs w:val="24"/>
              </w:rPr>
              <w:t>.</w:t>
            </w:r>
          </w:p>
        </w:tc>
        <w:tc>
          <w:tcPr>
            <w:tcW w:w="1847" w:type="dxa"/>
            <w:tcBorders>
              <w:top w:val="single" w:sz="4" w:space="0" w:color="92D050"/>
              <w:left w:val="single" w:sz="4" w:space="0" w:color="92D050"/>
              <w:bottom w:val="single" w:sz="4" w:space="0" w:color="92D050"/>
              <w:right w:val="single" w:sz="4" w:space="0" w:color="92D050"/>
            </w:tcBorders>
            <w:vAlign w:val="center"/>
          </w:tcPr>
          <w:p w14:paraId="59FCAF95" w14:textId="221DD318" w:rsidR="00CA6716" w:rsidRPr="00A3574B" w:rsidRDefault="00CA6716" w:rsidP="008B4F80">
            <w:pPr>
              <w:widowControl w:val="0"/>
              <w:spacing w:after="0"/>
              <w:rPr>
                <w:rFonts w:cs="Calibri"/>
                <w:sz w:val="24"/>
                <w:szCs w:val="24"/>
              </w:rPr>
            </w:pPr>
            <w:r w:rsidRPr="00A3574B">
              <w:rPr>
                <w:rFonts w:cs="Calibri"/>
                <w:sz w:val="24"/>
                <w:szCs w:val="24"/>
              </w:rPr>
              <w:t>Kompleksowość projektu</w:t>
            </w:r>
          </w:p>
        </w:tc>
        <w:tc>
          <w:tcPr>
            <w:tcW w:w="9212" w:type="dxa"/>
            <w:tcBorders>
              <w:top w:val="single" w:sz="4" w:space="0" w:color="92D050"/>
              <w:left w:val="single" w:sz="4" w:space="0" w:color="92D050"/>
              <w:bottom w:val="single" w:sz="4" w:space="0" w:color="92D050"/>
              <w:right w:val="single" w:sz="4" w:space="0" w:color="92D050"/>
            </w:tcBorders>
            <w:vAlign w:val="center"/>
          </w:tcPr>
          <w:p w14:paraId="6D38022D" w14:textId="52768D0B" w:rsidR="00CA6716" w:rsidRPr="00A3574B" w:rsidRDefault="00CA6716" w:rsidP="008B4F80">
            <w:pPr>
              <w:widowControl w:val="0"/>
              <w:spacing w:before="40" w:after="120"/>
              <w:rPr>
                <w:rFonts w:cs="Calibri"/>
                <w:sz w:val="24"/>
                <w:szCs w:val="24"/>
                <w:lang w:eastAsia="pl-PL"/>
              </w:rPr>
            </w:pPr>
            <w:r w:rsidRPr="00A3574B">
              <w:rPr>
                <w:rFonts w:cs="Calibri"/>
                <w:sz w:val="24"/>
                <w:szCs w:val="24"/>
                <w:lang w:eastAsia="pl-PL"/>
              </w:rPr>
              <w:t>Punktowane będą projekty kompleksowe, tj. dotyczące jak największej liczby elementów infrastruktury mających wpływ na zmniejszenie emisji CO</w:t>
            </w:r>
            <w:r w:rsidRPr="00A3574B">
              <w:rPr>
                <w:rFonts w:cs="Calibri"/>
                <w:sz w:val="24"/>
                <w:szCs w:val="24"/>
                <w:vertAlign w:val="subscript"/>
                <w:lang w:eastAsia="pl-PL"/>
              </w:rPr>
              <w:t xml:space="preserve">2 </w:t>
            </w:r>
            <w:r w:rsidRPr="00A3574B">
              <w:rPr>
                <w:rFonts w:cs="Calibri"/>
                <w:sz w:val="24"/>
                <w:szCs w:val="24"/>
                <w:lang w:eastAsia="pl-PL"/>
              </w:rPr>
              <w:t>i innych zanieczyszczeń uciążliwych dla środowiska i mieszkańców oraz zwiększające efektywność energetyczną transportu publicznego w miastach subregionalnych i przyczyniające się do poprawy funkcjonowania systemu komunikacyjnego:</w:t>
            </w:r>
          </w:p>
          <w:p w14:paraId="789D3D15" w14:textId="47AFE821"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 xml:space="preserve"> centra przesiadkowe,</w:t>
            </w:r>
          </w:p>
          <w:p w14:paraId="2B1D755B" w14:textId="52057663"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obiekty P&amp;R, B&amp;R,</w:t>
            </w:r>
          </w:p>
          <w:p w14:paraId="0F138981" w14:textId="0B846804"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ciągi piesze, przejścia dla pieszych, azyle dla pieszych,</w:t>
            </w:r>
          </w:p>
          <w:p w14:paraId="0A966A08" w14:textId="77777777" w:rsidR="00CA6716" w:rsidRDefault="00CA6716" w:rsidP="00104F1B">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drogi rowerowe, ciągi pieszo-rowerowe,</w:t>
            </w:r>
          </w:p>
          <w:p w14:paraId="685C5ED6" w14:textId="6E05CD9A" w:rsidR="00CA6716" w:rsidRPr="00C473EE" w:rsidRDefault="00CA6716" w:rsidP="000A5A7F">
            <w:pPr>
              <w:pStyle w:val="Akapitzlist"/>
              <w:widowControl w:val="0"/>
              <w:numPr>
                <w:ilvl w:val="0"/>
                <w:numId w:val="20"/>
              </w:numPr>
              <w:spacing w:after="60"/>
              <w:ind w:left="355"/>
              <w:rPr>
                <w:rFonts w:cs="Calibri"/>
                <w:sz w:val="24"/>
                <w:szCs w:val="24"/>
                <w:lang w:eastAsia="pl-PL"/>
              </w:rPr>
            </w:pPr>
            <w:r w:rsidRPr="00C473EE">
              <w:rPr>
                <w:rFonts w:cs="Calibri"/>
                <w:sz w:val="24"/>
                <w:szCs w:val="24"/>
                <w:lang w:eastAsia="pl-PL"/>
              </w:rPr>
              <w:t>przystanki, wysepki, infrastruktura punktowa służąca poprawie jakości publicznego transportu miejskiego,</w:t>
            </w:r>
          </w:p>
          <w:p w14:paraId="6CEE652B" w14:textId="16FE155B"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zaplecze techniczne do obsługi taboru,</w:t>
            </w:r>
          </w:p>
          <w:p w14:paraId="2A17DFA3" w14:textId="2EA36455" w:rsidR="00CA6716"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 xml:space="preserve">modernizacja zajezdni autobusowych wraz </w:t>
            </w:r>
            <w:r w:rsidRPr="00604ADE">
              <w:rPr>
                <w:rFonts w:cs="Calibri"/>
                <w:sz w:val="24"/>
                <w:szCs w:val="24"/>
                <w:lang w:eastAsia="pl-PL"/>
              </w:rPr>
              <w:br/>
              <w:t>z infrastrukturą do ładowania i tankowania pojazdów zeroemisyjnych,</w:t>
            </w:r>
          </w:p>
          <w:p w14:paraId="2FCEE7E4" w14:textId="164714DF" w:rsidR="00CA6716" w:rsidRPr="00C473EE" w:rsidRDefault="00CA6716" w:rsidP="00104F1B">
            <w:pPr>
              <w:pStyle w:val="Akapitzlist"/>
              <w:widowControl w:val="0"/>
              <w:numPr>
                <w:ilvl w:val="0"/>
                <w:numId w:val="20"/>
              </w:numPr>
              <w:spacing w:after="60"/>
              <w:ind w:left="355"/>
              <w:rPr>
                <w:rFonts w:cs="Calibri"/>
                <w:sz w:val="24"/>
                <w:szCs w:val="24"/>
                <w:lang w:eastAsia="pl-PL"/>
              </w:rPr>
            </w:pPr>
            <w:r w:rsidRPr="00C473EE">
              <w:rPr>
                <w:rFonts w:cs="Calibri"/>
                <w:sz w:val="24"/>
                <w:szCs w:val="24"/>
                <w:lang w:eastAsia="pl-PL"/>
              </w:rPr>
              <w:t xml:space="preserve">infrastruktura drogowa transportu publicznego (buspasy, pasy skrętów dla autobusów, śluzy na skrzyżowaniach, budowa/przebudowa kanalizacji teletechnicznej, infrastruktura </w:t>
            </w:r>
            <w:r w:rsidRPr="00C473EE">
              <w:rPr>
                <w:rFonts w:cs="Calibri"/>
                <w:sz w:val="24"/>
                <w:szCs w:val="24"/>
                <w:lang w:eastAsia="pl-PL"/>
              </w:rPr>
              <w:lastRenderedPageBreak/>
              <w:t>drogowa przy pętlach autobusowych, stacjach kolejowych lub obiektach P&amp;R, B&amp;R wraz z</w:t>
            </w:r>
            <w:r w:rsidR="00A34B45">
              <w:rPr>
                <w:rFonts w:cs="Calibri"/>
                <w:sz w:val="24"/>
                <w:szCs w:val="24"/>
                <w:lang w:eastAsia="pl-PL"/>
              </w:rPr>
              <w:t> </w:t>
            </w:r>
            <w:r w:rsidRPr="00C473EE">
              <w:rPr>
                <w:rFonts w:cs="Calibri"/>
                <w:sz w:val="24"/>
                <w:szCs w:val="24"/>
                <w:lang w:eastAsia="pl-PL"/>
              </w:rPr>
              <w:t>odcinkami dróg łączących je bezpośrednio z drogami miejskimi,  wyposażenie dróg i ulic w niezbędne obiekty i urządzenia drogowe służące bezpieczeństwu ruchu pojazdów transportu publicznego),</w:t>
            </w:r>
          </w:p>
          <w:p w14:paraId="2117C1E3" w14:textId="33E1F409"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systemy zarządzania ruchem,</w:t>
            </w:r>
          </w:p>
          <w:p w14:paraId="73C114B0" w14:textId="03C5F661"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energooszczędne oświetlenie uliczne i drogowe,</w:t>
            </w:r>
          </w:p>
          <w:p w14:paraId="5475D5F1" w14:textId="3FF86662"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budowa i rozbudowa infrastruktury ładowania i tankowania pojazdów bezemisyjnych indywidualnych,</w:t>
            </w:r>
          </w:p>
          <w:p w14:paraId="2F1F55A1" w14:textId="25F75F2D" w:rsidR="00CA6716" w:rsidRPr="00604ADE" w:rsidRDefault="00CA6716" w:rsidP="00924C40">
            <w:pPr>
              <w:pStyle w:val="Akapitzlist"/>
              <w:widowControl w:val="0"/>
              <w:numPr>
                <w:ilvl w:val="0"/>
                <w:numId w:val="20"/>
              </w:numPr>
              <w:spacing w:after="60"/>
              <w:ind w:left="355"/>
              <w:rPr>
                <w:rFonts w:cs="Calibri"/>
                <w:sz w:val="24"/>
                <w:szCs w:val="24"/>
                <w:lang w:eastAsia="pl-PL"/>
              </w:rPr>
            </w:pPr>
            <w:r w:rsidRPr="00604ADE">
              <w:rPr>
                <w:rFonts w:cs="Calibri"/>
                <w:sz w:val="24"/>
                <w:szCs w:val="24"/>
                <w:lang w:eastAsia="pl-PL"/>
              </w:rPr>
              <w:t>zakup niskoemisyjnego i zeroemisyjnego taboru autobusowego.</w:t>
            </w:r>
          </w:p>
          <w:p w14:paraId="6024C991" w14:textId="1E0B1665" w:rsidR="00CA6716" w:rsidRPr="00A3574B" w:rsidRDefault="00CA6716" w:rsidP="00B27596">
            <w:pPr>
              <w:widowControl w:val="0"/>
              <w:spacing w:after="60" w:line="240" w:lineRule="auto"/>
              <w:rPr>
                <w:rFonts w:cs="Calibri"/>
                <w:sz w:val="24"/>
                <w:szCs w:val="24"/>
                <w:lang w:eastAsia="pl-PL"/>
              </w:rPr>
            </w:pPr>
            <w:r w:rsidRPr="00A3574B">
              <w:rPr>
                <w:rFonts w:cs="Calibri"/>
                <w:sz w:val="24"/>
                <w:szCs w:val="24"/>
                <w:lang w:eastAsia="pl-PL"/>
              </w:rPr>
              <w:t xml:space="preserve">1 pkt – 1-2 </w:t>
            </w:r>
            <w:r>
              <w:rPr>
                <w:rFonts w:cs="Calibri"/>
                <w:sz w:val="24"/>
                <w:szCs w:val="24"/>
                <w:lang w:eastAsia="pl-PL"/>
              </w:rPr>
              <w:t>podpunkty</w:t>
            </w:r>
            <w:r w:rsidRPr="00A3574B">
              <w:rPr>
                <w:rFonts w:cs="Calibri"/>
                <w:sz w:val="24"/>
                <w:szCs w:val="24"/>
                <w:lang w:eastAsia="pl-PL"/>
              </w:rPr>
              <w:t xml:space="preserve"> z listy</w:t>
            </w:r>
            <w:r>
              <w:rPr>
                <w:rFonts w:cs="Calibri"/>
                <w:sz w:val="24"/>
                <w:szCs w:val="24"/>
                <w:lang w:eastAsia="pl-PL"/>
              </w:rPr>
              <w:t>,</w:t>
            </w:r>
          </w:p>
          <w:p w14:paraId="7E55B5D6" w14:textId="2A66DA63" w:rsidR="00CA6716" w:rsidRPr="00A3574B" w:rsidRDefault="00CA6716" w:rsidP="00B27596">
            <w:pPr>
              <w:widowControl w:val="0"/>
              <w:spacing w:after="60" w:line="240" w:lineRule="auto"/>
              <w:rPr>
                <w:rFonts w:cs="Calibri"/>
                <w:sz w:val="24"/>
                <w:szCs w:val="24"/>
                <w:lang w:eastAsia="pl-PL"/>
              </w:rPr>
            </w:pPr>
            <w:r w:rsidRPr="00A3574B">
              <w:rPr>
                <w:rFonts w:cs="Calibri"/>
                <w:sz w:val="24"/>
                <w:szCs w:val="24"/>
                <w:lang w:eastAsia="pl-PL"/>
              </w:rPr>
              <w:t xml:space="preserve">2 pkt – 3-4 </w:t>
            </w:r>
            <w:r>
              <w:rPr>
                <w:rFonts w:cs="Calibri"/>
                <w:sz w:val="24"/>
                <w:szCs w:val="24"/>
                <w:lang w:eastAsia="pl-PL"/>
              </w:rPr>
              <w:t>podpunkty</w:t>
            </w:r>
            <w:r w:rsidRPr="00A3574B">
              <w:rPr>
                <w:rFonts w:cs="Calibri"/>
                <w:sz w:val="24"/>
                <w:szCs w:val="24"/>
                <w:lang w:eastAsia="pl-PL"/>
              </w:rPr>
              <w:t xml:space="preserve"> z listy</w:t>
            </w:r>
            <w:r>
              <w:rPr>
                <w:rFonts w:cs="Calibri"/>
                <w:sz w:val="24"/>
                <w:szCs w:val="24"/>
                <w:lang w:eastAsia="pl-PL"/>
              </w:rPr>
              <w:t>,</w:t>
            </w:r>
          </w:p>
          <w:p w14:paraId="392DBDBE" w14:textId="46D4DC8F" w:rsidR="00CA6716" w:rsidRPr="00A3574B" w:rsidRDefault="00CA6716" w:rsidP="00B27596">
            <w:pPr>
              <w:widowControl w:val="0"/>
              <w:spacing w:after="60" w:line="240" w:lineRule="auto"/>
              <w:rPr>
                <w:rFonts w:cs="Calibri"/>
                <w:sz w:val="24"/>
                <w:szCs w:val="24"/>
                <w:lang w:eastAsia="pl-PL"/>
              </w:rPr>
            </w:pPr>
            <w:r w:rsidRPr="00A3574B">
              <w:rPr>
                <w:rFonts w:cs="Calibri"/>
                <w:sz w:val="24"/>
                <w:szCs w:val="24"/>
                <w:lang w:eastAsia="pl-PL"/>
              </w:rPr>
              <w:t xml:space="preserve">3 pkt – 5-6 </w:t>
            </w:r>
            <w:r>
              <w:rPr>
                <w:rFonts w:cs="Calibri"/>
                <w:sz w:val="24"/>
                <w:szCs w:val="24"/>
                <w:lang w:eastAsia="pl-PL"/>
              </w:rPr>
              <w:t>podpunktów</w:t>
            </w:r>
            <w:r w:rsidRPr="00A3574B">
              <w:rPr>
                <w:rFonts w:cs="Calibri"/>
                <w:sz w:val="24"/>
                <w:szCs w:val="24"/>
                <w:lang w:eastAsia="pl-PL"/>
              </w:rPr>
              <w:t xml:space="preserve"> z listy</w:t>
            </w:r>
            <w:r>
              <w:rPr>
                <w:rFonts w:cs="Calibri"/>
                <w:sz w:val="24"/>
                <w:szCs w:val="24"/>
                <w:lang w:eastAsia="pl-PL"/>
              </w:rPr>
              <w:t>,</w:t>
            </w:r>
          </w:p>
          <w:p w14:paraId="2AD4E430" w14:textId="6F1E368F" w:rsidR="00CA6716" w:rsidRDefault="00CA6716" w:rsidP="00482E9F">
            <w:pPr>
              <w:widowControl w:val="0"/>
              <w:spacing w:after="120" w:line="240" w:lineRule="auto"/>
              <w:rPr>
                <w:rFonts w:cs="Calibri"/>
                <w:sz w:val="24"/>
                <w:szCs w:val="24"/>
                <w:lang w:eastAsia="pl-PL"/>
              </w:rPr>
            </w:pPr>
            <w:r w:rsidRPr="00A3574B">
              <w:rPr>
                <w:rFonts w:cs="Calibri"/>
                <w:sz w:val="24"/>
                <w:szCs w:val="24"/>
                <w:lang w:eastAsia="pl-PL"/>
              </w:rPr>
              <w:t xml:space="preserve">4 pkt – 7 i więcej </w:t>
            </w:r>
            <w:r>
              <w:rPr>
                <w:rFonts w:cs="Calibri"/>
                <w:sz w:val="24"/>
                <w:szCs w:val="24"/>
                <w:lang w:eastAsia="pl-PL"/>
              </w:rPr>
              <w:t>podpunktów</w:t>
            </w:r>
            <w:r w:rsidRPr="00A3574B">
              <w:rPr>
                <w:rFonts w:cs="Calibri"/>
                <w:sz w:val="24"/>
                <w:szCs w:val="24"/>
                <w:lang w:eastAsia="pl-PL"/>
              </w:rPr>
              <w:t xml:space="preserve"> z listy</w:t>
            </w:r>
            <w:r>
              <w:rPr>
                <w:rFonts w:cs="Calibri"/>
                <w:sz w:val="24"/>
                <w:szCs w:val="24"/>
                <w:lang w:eastAsia="pl-PL"/>
              </w:rPr>
              <w:t>.</w:t>
            </w:r>
          </w:p>
          <w:p w14:paraId="4DE8CCA8" w14:textId="785ACA5D" w:rsidR="00CA6716" w:rsidRPr="00A3574B" w:rsidRDefault="00CA6716" w:rsidP="003B23B5">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C7AD63E"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lastRenderedPageBreak/>
              <w:t>Kryterium premiujące</w:t>
            </w:r>
          </w:p>
          <w:p w14:paraId="6F79DFE3" w14:textId="77777777" w:rsidR="00CA6716" w:rsidRPr="00A3574B" w:rsidRDefault="00CA6716" w:rsidP="008B4F80">
            <w:pPr>
              <w:widowControl w:val="0"/>
              <w:spacing w:after="0"/>
              <w:jc w:val="center"/>
              <w:rPr>
                <w:rFonts w:cs="Calibri"/>
                <w:bCs/>
                <w:sz w:val="24"/>
                <w:szCs w:val="24"/>
                <w:lang w:eastAsia="pl-PL"/>
              </w:rPr>
            </w:pPr>
          </w:p>
          <w:p w14:paraId="77002796" w14:textId="55F54A93" w:rsidR="00CA6716" w:rsidRPr="00A3574B" w:rsidRDefault="00CA6716" w:rsidP="008B4F80">
            <w:pPr>
              <w:widowControl w:val="0"/>
              <w:spacing w:after="120"/>
              <w:jc w:val="center"/>
              <w:rPr>
                <w:rFonts w:cs="Calibri"/>
                <w:bCs/>
                <w:sz w:val="24"/>
                <w:szCs w:val="24"/>
                <w:lang w:eastAsia="pl-PL"/>
              </w:rPr>
            </w:pPr>
            <w:r w:rsidRPr="00A3574B">
              <w:rPr>
                <w:rFonts w:cs="Calibri"/>
                <w:bCs/>
                <w:sz w:val="24"/>
                <w:szCs w:val="24"/>
                <w:lang w:eastAsia="pl-PL"/>
              </w:rPr>
              <w:t>rozstrzygające nr 2</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BFBAE89" w14:textId="3E3AD899"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2</w:t>
            </w:r>
          </w:p>
        </w:tc>
        <w:tc>
          <w:tcPr>
            <w:tcW w:w="14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163A026" w14:textId="72942E56"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1-4 pkt</w:t>
            </w:r>
          </w:p>
        </w:tc>
      </w:tr>
      <w:tr w:rsidR="00CA6716" w14:paraId="0F6E6D0B" w14:textId="48CBFDBB" w:rsidTr="00CA6716">
        <w:trPr>
          <w:trHeight w:val="2433"/>
        </w:trPr>
        <w:tc>
          <w:tcPr>
            <w:tcW w:w="566" w:type="dxa"/>
            <w:tcBorders>
              <w:left w:val="single" w:sz="4" w:space="0" w:color="92D050"/>
              <w:bottom w:val="single" w:sz="4" w:space="0" w:color="92D050"/>
              <w:right w:val="single" w:sz="4" w:space="0" w:color="92D050"/>
            </w:tcBorders>
            <w:vAlign w:val="center"/>
          </w:tcPr>
          <w:p w14:paraId="283312A3" w14:textId="0B312D8E" w:rsidR="00CA6716" w:rsidRDefault="00CA6716" w:rsidP="008B4F80">
            <w:pPr>
              <w:widowControl w:val="0"/>
              <w:spacing w:after="0"/>
              <w:rPr>
                <w:rFonts w:cs="Calibri"/>
                <w:sz w:val="24"/>
                <w:szCs w:val="24"/>
              </w:rPr>
            </w:pPr>
            <w:r>
              <w:rPr>
                <w:rFonts w:cs="Calibri"/>
                <w:sz w:val="24"/>
                <w:szCs w:val="24"/>
              </w:rPr>
              <w:lastRenderedPageBreak/>
              <w:t>6</w:t>
            </w:r>
            <w:r w:rsidRPr="00A3574B">
              <w:rPr>
                <w:rFonts w:cs="Calibri"/>
                <w:sz w:val="24"/>
                <w:szCs w:val="24"/>
              </w:rPr>
              <w:t>.</w:t>
            </w:r>
          </w:p>
        </w:tc>
        <w:tc>
          <w:tcPr>
            <w:tcW w:w="1847" w:type="dxa"/>
            <w:tcBorders>
              <w:left w:val="single" w:sz="4" w:space="0" w:color="92D050"/>
              <w:bottom w:val="single" w:sz="4" w:space="0" w:color="92D050"/>
              <w:right w:val="single" w:sz="4" w:space="0" w:color="92D050"/>
            </w:tcBorders>
            <w:vAlign w:val="center"/>
          </w:tcPr>
          <w:p w14:paraId="4A5EC9C9" w14:textId="75EAC5BF" w:rsidR="00CA6716" w:rsidRPr="00A3574B" w:rsidRDefault="00CA6716" w:rsidP="008B4F80">
            <w:pPr>
              <w:widowControl w:val="0"/>
              <w:spacing w:after="0"/>
              <w:rPr>
                <w:rFonts w:cs="Calibri"/>
                <w:sz w:val="24"/>
                <w:szCs w:val="24"/>
              </w:rPr>
            </w:pPr>
            <w:r w:rsidRPr="00A3574B">
              <w:rPr>
                <w:rFonts w:cs="Calibri"/>
                <w:sz w:val="24"/>
                <w:szCs w:val="24"/>
              </w:rPr>
              <w:t>Obszar realizacji projektu</w:t>
            </w:r>
          </w:p>
        </w:tc>
        <w:tc>
          <w:tcPr>
            <w:tcW w:w="9212" w:type="dxa"/>
            <w:tcBorders>
              <w:left w:val="single" w:sz="4" w:space="0" w:color="92D050"/>
              <w:bottom w:val="single" w:sz="4" w:space="0" w:color="92D050"/>
              <w:right w:val="single" w:sz="4" w:space="0" w:color="92D050"/>
            </w:tcBorders>
            <w:vAlign w:val="center"/>
          </w:tcPr>
          <w:p w14:paraId="4AB12A38" w14:textId="77777777" w:rsidR="00CA6716" w:rsidRPr="00A3574B" w:rsidRDefault="00CA6716" w:rsidP="008B4F80">
            <w:pPr>
              <w:widowControl w:val="0"/>
              <w:spacing w:after="120"/>
              <w:rPr>
                <w:rFonts w:cs="Calibri"/>
                <w:sz w:val="24"/>
                <w:szCs w:val="24"/>
                <w:lang w:eastAsia="pl-PL"/>
              </w:rPr>
            </w:pPr>
            <w:r w:rsidRPr="00A3574B">
              <w:rPr>
                <w:rFonts w:cs="Calibri"/>
                <w:sz w:val="24"/>
                <w:szCs w:val="24"/>
                <w:lang w:eastAsia="pl-PL"/>
              </w:rPr>
              <w:t>Projekt realizowany na obszarze:</w:t>
            </w:r>
          </w:p>
          <w:p w14:paraId="09AD8DAC" w14:textId="4F6D1797" w:rsidR="00CA6716" w:rsidRPr="00A3574B" w:rsidRDefault="00CA6716" w:rsidP="00B27596">
            <w:pPr>
              <w:widowControl w:val="0"/>
              <w:spacing w:after="60" w:line="240" w:lineRule="auto"/>
              <w:rPr>
                <w:rFonts w:cs="Calibri"/>
                <w:sz w:val="24"/>
                <w:szCs w:val="24"/>
                <w:lang w:eastAsia="pl-PL"/>
              </w:rPr>
            </w:pPr>
            <w:r w:rsidRPr="00A3574B">
              <w:rPr>
                <w:rFonts w:cs="Calibri"/>
                <w:sz w:val="24"/>
                <w:szCs w:val="24"/>
                <w:lang w:eastAsia="pl-PL"/>
              </w:rPr>
              <w:t>1 pkt – 1 gminy</w:t>
            </w:r>
            <w:r>
              <w:rPr>
                <w:rFonts w:cs="Calibri"/>
                <w:sz w:val="24"/>
                <w:szCs w:val="24"/>
                <w:lang w:eastAsia="pl-PL"/>
              </w:rPr>
              <w:t>,</w:t>
            </w:r>
          </w:p>
          <w:p w14:paraId="6220C577" w14:textId="49EB894B" w:rsidR="00CA6716" w:rsidRPr="00A3574B" w:rsidRDefault="00CA6716" w:rsidP="00B27596">
            <w:pPr>
              <w:widowControl w:val="0"/>
              <w:spacing w:after="60" w:line="240" w:lineRule="auto"/>
              <w:rPr>
                <w:rFonts w:cs="Calibri"/>
                <w:sz w:val="24"/>
                <w:szCs w:val="24"/>
                <w:lang w:eastAsia="pl-PL"/>
              </w:rPr>
            </w:pPr>
            <w:r w:rsidRPr="00A3574B">
              <w:rPr>
                <w:rFonts w:cs="Calibri"/>
                <w:sz w:val="24"/>
                <w:szCs w:val="24"/>
                <w:lang w:eastAsia="pl-PL"/>
              </w:rPr>
              <w:t>2 pkt – 2 gmin</w:t>
            </w:r>
            <w:r>
              <w:rPr>
                <w:rFonts w:cs="Calibri"/>
                <w:sz w:val="24"/>
                <w:szCs w:val="24"/>
                <w:lang w:eastAsia="pl-PL"/>
              </w:rPr>
              <w:t>,</w:t>
            </w:r>
          </w:p>
          <w:p w14:paraId="1E445919" w14:textId="77777777" w:rsidR="00CA6716" w:rsidRDefault="00CA6716" w:rsidP="00482E9F">
            <w:pPr>
              <w:widowControl w:val="0"/>
              <w:spacing w:after="120" w:line="240" w:lineRule="auto"/>
              <w:rPr>
                <w:rFonts w:cs="Calibri"/>
                <w:sz w:val="24"/>
                <w:szCs w:val="24"/>
                <w:lang w:eastAsia="pl-PL"/>
              </w:rPr>
            </w:pPr>
            <w:r w:rsidRPr="00A3574B">
              <w:rPr>
                <w:rFonts w:cs="Calibri"/>
                <w:sz w:val="24"/>
                <w:szCs w:val="24"/>
                <w:lang w:eastAsia="pl-PL"/>
              </w:rPr>
              <w:t>3 pkt – 3 i więcej gmin.</w:t>
            </w:r>
          </w:p>
          <w:p w14:paraId="3170044E" w14:textId="4E125A14" w:rsidR="00CA6716" w:rsidRPr="00A3574B" w:rsidRDefault="00CA6716" w:rsidP="00F66DF4">
            <w:pPr>
              <w:widowControl w:val="0"/>
              <w:spacing w:before="40" w:after="0"/>
              <w:rPr>
                <w:rFonts w:cs="Calibri"/>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left w:val="single" w:sz="4" w:space="0" w:color="92D050"/>
              <w:bottom w:val="single" w:sz="4" w:space="0" w:color="92D050"/>
              <w:right w:val="single" w:sz="4" w:space="0" w:color="92D050"/>
            </w:tcBorders>
            <w:shd w:val="clear" w:color="auto" w:fill="FFFFFF"/>
            <w:vAlign w:val="center"/>
          </w:tcPr>
          <w:p w14:paraId="3161E779" w14:textId="33F72FAD" w:rsidR="00CA6716" w:rsidRPr="00A3574B" w:rsidRDefault="00CA6716" w:rsidP="008B4F80">
            <w:pPr>
              <w:widowControl w:val="0"/>
              <w:spacing w:after="12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13F9DD35" w14:textId="2CECD8A4"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2</w:t>
            </w:r>
          </w:p>
        </w:tc>
        <w:tc>
          <w:tcPr>
            <w:tcW w:w="1419" w:type="dxa"/>
            <w:tcBorders>
              <w:left w:val="single" w:sz="4" w:space="0" w:color="92D050"/>
              <w:bottom w:val="single" w:sz="4" w:space="0" w:color="92D050"/>
              <w:right w:val="single" w:sz="4" w:space="0" w:color="92D050"/>
            </w:tcBorders>
            <w:shd w:val="clear" w:color="auto" w:fill="FFFFFF"/>
            <w:vAlign w:val="center"/>
          </w:tcPr>
          <w:p w14:paraId="73A80255" w14:textId="153FC86C"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1-3 pkt</w:t>
            </w:r>
          </w:p>
        </w:tc>
      </w:tr>
      <w:tr w:rsidR="00CA6716" w14:paraId="31D6DD1E" w14:textId="1129AD6C" w:rsidTr="00CA6716">
        <w:trPr>
          <w:trHeight w:val="506"/>
        </w:trPr>
        <w:tc>
          <w:tcPr>
            <w:tcW w:w="566" w:type="dxa"/>
            <w:tcBorders>
              <w:top w:val="single" w:sz="4" w:space="0" w:color="92D050"/>
              <w:left w:val="single" w:sz="4" w:space="0" w:color="92D050"/>
              <w:bottom w:val="single" w:sz="4" w:space="0" w:color="92D050"/>
              <w:right w:val="single" w:sz="4" w:space="0" w:color="92D050"/>
            </w:tcBorders>
            <w:vAlign w:val="center"/>
          </w:tcPr>
          <w:p w14:paraId="6D8ABBE5" w14:textId="2B4289B6" w:rsidR="00CA6716" w:rsidRPr="00CE2231" w:rsidRDefault="00CA6716" w:rsidP="008B4F80">
            <w:pPr>
              <w:widowControl w:val="0"/>
              <w:spacing w:after="0"/>
              <w:rPr>
                <w:rFonts w:cs="Calibri"/>
                <w:sz w:val="24"/>
                <w:szCs w:val="24"/>
              </w:rPr>
            </w:pPr>
            <w:r>
              <w:rPr>
                <w:rFonts w:cs="Calibri"/>
                <w:sz w:val="24"/>
                <w:szCs w:val="24"/>
              </w:rPr>
              <w:t>7</w:t>
            </w:r>
            <w:r w:rsidRPr="00CE2231">
              <w:rPr>
                <w:rFonts w:cs="Calibri"/>
                <w:sz w:val="24"/>
                <w:szCs w:val="24"/>
              </w:rPr>
              <w:t>.</w:t>
            </w:r>
          </w:p>
        </w:tc>
        <w:tc>
          <w:tcPr>
            <w:tcW w:w="1847" w:type="dxa"/>
            <w:tcBorders>
              <w:top w:val="single" w:sz="4" w:space="0" w:color="92D050"/>
              <w:left w:val="single" w:sz="4" w:space="0" w:color="92D050"/>
              <w:bottom w:val="single" w:sz="4" w:space="0" w:color="92D050"/>
              <w:right w:val="single" w:sz="4" w:space="0" w:color="92D050"/>
            </w:tcBorders>
            <w:vAlign w:val="center"/>
          </w:tcPr>
          <w:p w14:paraId="7E5731EE" w14:textId="77777777" w:rsidR="00CA6716" w:rsidRPr="00CE2231" w:rsidRDefault="00CA6716" w:rsidP="008B4F80">
            <w:pPr>
              <w:widowControl w:val="0"/>
              <w:spacing w:after="0"/>
              <w:rPr>
                <w:rFonts w:cs="Calibri"/>
                <w:sz w:val="24"/>
                <w:szCs w:val="24"/>
                <w:lang w:eastAsia="pl-PL"/>
              </w:rPr>
            </w:pPr>
            <w:r w:rsidRPr="00CE2231">
              <w:rPr>
                <w:rFonts w:cs="Calibri"/>
                <w:sz w:val="24"/>
                <w:szCs w:val="24"/>
                <w:lang w:eastAsia="pl-PL"/>
              </w:rPr>
              <w:t>Integracja taryfowa oraz „Mobilność jako usługa”</w:t>
            </w:r>
          </w:p>
        </w:tc>
        <w:tc>
          <w:tcPr>
            <w:tcW w:w="9212" w:type="dxa"/>
            <w:tcBorders>
              <w:top w:val="single" w:sz="4" w:space="0" w:color="92D050"/>
              <w:left w:val="single" w:sz="4" w:space="0" w:color="92D050"/>
              <w:bottom w:val="single" w:sz="4" w:space="0" w:color="92D050"/>
              <w:right w:val="single" w:sz="4" w:space="0" w:color="92D050"/>
            </w:tcBorders>
            <w:vAlign w:val="center"/>
          </w:tcPr>
          <w:p w14:paraId="72236D78" w14:textId="6BFEE60C" w:rsidR="00CA6716" w:rsidRDefault="00CA6716" w:rsidP="00B27596">
            <w:pPr>
              <w:widowControl w:val="0"/>
              <w:spacing w:after="120" w:line="240" w:lineRule="auto"/>
              <w:rPr>
                <w:rFonts w:cs="Calibri"/>
                <w:sz w:val="24"/>
                <w:szCs w:val="24"/>
                <w:lang w:eastAsia="pl-PL"/>
              </w:rPr>
            </w:pPr>
            <w:r w:rsidRPr="00CE2231">
              <w:rPr>
                <w:rFonts w:cs="Calibri"/>
                <w:sz w:val="24"/>
                <w:szCs w:val="24"/>
                <w:lang w:eastAsia="pl-PL"/>
              </w:rPr>
              <w:t>0 pkt – projekt nie przewiduje wprowadzenia integracji taryfowej oraz koncepcji „Mobilność jako usługa”</w:t>
            </w:r>
            <w:r>
              <w:rPr>
                <w:rFonts w:cs="Calibri"/>
                <w:sz w:val="24"/>
                <w:szCs w:val="24"/>
                <w:lang w:eastAsia="pl-PL"/>
              </w:rPr>
              <w:t>,</w:t>
            </w:r>
          </w:p>
          <w:p w14:paraId="55DC441F" w14:textId="2CCC5877" w:rsidR="00CA6716" w:rsidRDefault="00CA6716" w:rsidP="00B27596">
            <w:pPr>
              <w:widowControl w:val="0"/>
              <w:spacing w:after="120" w:line="240" w:lineRule="auto"/>
              <w:rPr>
                <w:rFonts w:cs="Calibri"/>
                <w:sz w:val="24"/>
                <w:szCs w:val="24"/>
                <w:lang w:eastAsia="pl-PL"/>
              </w:rPr>
            </w:pPr>
            <w:r w:rsidRPr="00CE2231">
              <w:rPr>
                <w:rFonts w:cs="Calibri"/>
                <w:sz w:val="24"/>
                <w:szCs w:val="24"/>
                <w:lang w:eastAsia="pl-PL"/>
              </w:rPr>
              <w:t>5 pkt – projekt przewiduje wprowadzenie integracji taryfowej oraz koncepcji „Mobilność jako usługa”</w:t>
            </w:r>
            <w:r>
              <w:rPr>
                <w:rFonts w:cs="Calibri"/>
                <w:sz w:val="24"/>
                <w:szCs w:val="24"/>
                <w:lang w:eastAsia="pl-PL"/>
              </w:rPr>
              <w:t>.</w:t>
            </w:r>
          </w:p>
          <w:p w14:paraId="542B9818" w14:textId="31169AB1" w:rsidR="00CA6716" w:rsidRPr="00CE2231" w:rsidRDefault="00CA6716" w:rsidP="00482E9F">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D38101C" w14:textId="77777777" w:rsidR="00CA6716" w:rsidRPr="00CE2231" w:rsidRDefault="00CA6716" w:rsidP="008B4F80">
            <w:pPr>
              <w:widowControl w:val="0"/>
              <w:spacing w:after="0"/>
              <w:jc w:val="center"/>
              <w:rPr>
                <w:rFonts w:cs="Calibri"/>
                <w:sz w:val="24"/>
                <w:szCs w:val="24"/>
                <w:lang w:eastAsia="pl-PL"/>
              </w:rPr>
            </w:pPr>
            <w:r w:rsidRPr="00CE2231">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ACEB666" w14:textId="77777777" w:rsidR="00CA6716" w:rsidRPr="00CE2231" w:rsidRDefault="00CA6716" w:rsidP="008B4F80">
            <w:pPr>
              <w:widowControl w:val="0"/>
              <w:spacing w:after="0"/>
              <w:jc w:val="center"/>
              <w:rPr>
                <w:rFonts w:cs="Calibri"/>
                <w:sz w:val="24"/>
                <w:szCs w:val="24"/>
                <w:lang w:eastAsia="pl-PL"/>
              </w:rPr>
            </w:pPr>
            <w:r w:rsidRPr="00CE2231">
              <w:rPr>
                <w:rFonts w:cs="Calibri"/>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73831AF" w14:textId="2F86696D" w:rsidR="00CA6716" w:rsidRPr="00CE2231" w:rsidRDefault="00CA6716" w:rsidP="008B4F80">
            <w:pPr>
              <w:widowControl w:val="0"/>
              <w:spacing w:after="0"/>
              <w:jc w:val="center"/>
              <w:rPr>
                <w:rFonts w:cs="Calibri"/>
                <w:bCs/>
                <w:sz w:val="24"/>
                <w:szCs w:val="24"/>
                <w:lang w:eastAsia="pl-PL"/>
              </w:rPr>
            </w:pPr>
            <w:r w:rsidRPr="00CE2231">
              <w:rPr>
                <w:rFonts w:cs="Calibri"/>
                <w:bCs/>
                <w:sz w:val="24"/>
                <w:szCs w:val="24"/>
                <w:lang w:eastAsia="pl-PL"/>
              </w:rPr>
              <w:t>0</w:t>
            </w:r>
            <w:r>
              <w:rPr>
                <w:rFonts w:cs="Calibri"/>
                <w:bCs/>
                <w:sz w:val="24"/>
                <w:szCs w:val="24"/>
                <w:lang w:eastAsia="pl-PL"/>
              </w:rPr>
              <w:t xml:space="preserve"> </w:t>
            </w:r>
            <w:r w:rsidRPr="00CE2231">
              <w:rPr>
                <w:rFonts w:cs="Calibri"/>
                <w:bCs/>
                <w:sz w:val="24"/>
                <w:szCs w:val="24"/>
                <w:lang w:eastAsia="pl-PL"/>
              </w:rPr>
              <w:t>lub 5 pkt</w:t>
            </w:r>
          </w:p>
        </w:tc>
      </w:tr>
      <w:tr w:rsidR="00CA6716" w14:paraId="5E8F287A" w14:textId="0F116D63" w:rsidTr="00CA6716">
        <w:trPr>
          <w:trHeight w:val="2103"/>
        </w:trPr>
        <w:tc>
          <w:tcPr>
            <w:tcW w:w="566" w:type="dxa"/>
            <w:tcBorders>
              <w:top w:val="single" w:sz="4" w:space="0" w:color="92D050"/>
              <w:left w:val="single" w:sz="4" w:space="0" w:color="92D050"/>
              <w:bottom w:val="single" w:sz="4" w:space="0" w:color="92D050"/>
              <w:right w:val="single" w:sz="4" w:space="0" w:color="92D050"/>
            </w:tcBorders>
            <w:vAlign w:val="center"/>
          </w:tcPr>
          <w:p w14:paraId="4487E70A" w14:textId="39A1E99C" w:rsidR="00CA6716" w:rsidRPr="00A3574B" w:rsidRDefault="00CA6716" w:rsidP="008B4F80">
            <w:pPr>
              <w:widowControl w:val="0"/>
              <w:spacing w:after="0"/>
              <w:rPr>
                <w:rFonts w:cs="Calibri"/>
                <w:sz w:val="24"/>
                <w:szCs w:val="24"/>
              </w:rPr>
            </w:pPr>
            <w:r>
              <w:rPr>
                <w:rFonts w:cs="Calibri"/>
                <w:sz w:val="24"/>
                <w:szCs w:val="24"/>
              </w:rPr>
              <w:t>8</w:t>
            </w:r>
            <w:r w:rsidRPr="00A3574B">
              <w:rPr>
                <w:rFonts w:cs="Calibri"/>
                <w:sz w:val="24"/>
                <w:szCs w:val="24"/>
              </w:rPr>
              <w:t>.</w:t>
            </w:r>
          </w:p>
        </w:tc>
        <w:tc>
          <w:tcPr>
            <w:tcW w:w="1847" w:type="dxa"/>
            <w:tcBorders>
              <w:top w:val="single" w:sz="4" w:space="0" w:color="92D050"/>
              <w:left w:val="single" w:sz="4" w:space="0" w:color="92D050"/>
              <w:bottom w:val="single" w:sz="4" w:space="0" w:color="92D050"/>
              <w:right w:val="single" w:sz="4" w:space="0" w:color="92D050"/>
            </w:tcBorders>
            <w:vAlign w:val="center"/>
          </w:tcPr>
          <w:p w14:paraId="2CB730D8" w14:textId="77777777" w:rsidR="00CA6716" w:rsidRPr="008B3505" w:rsidRDefault="00CA6716" w:rsidP="008B4F80">
            <w:pPr>
              <w:widowControl w:val="0"/>
              <w:spacing w:after="0"/>
              <w:rPr>
                <w:rFonts w:cs="Calibri"/>
                <w:sz w:val="24"/>
                <w:szCs w:val="24"/>
              </w:rPr>
            </w:pPr>
            <w:r w:rsidRPr="008B3505">
              <w:rPr>
                <w:rFonts w:cs="Calibri"/>
                <w:sz w:val="24"/>
                <w:szCs w:val="24"/>
              </w:rPr>
              <w:t xml:space="preserve">Zakup taboru </w:t>
            </w:r>
          </w:p>
        </w:tc>
        <w:tc>
          <w:tcPr>
            <w:tcW w:w="9212" w:type="dxa"/>
            <w:tcBorders>
              <w:top w:val="single" w:sz="4" w:space="0" w:color="92D050"/>
              <w:left w:val="single" w:sz="4" w:space="0" w:color="92D050"/>
              <w:bottom w:val="single" w:sz="4" w:space="0" w:color="92D050"/>
              <w:right w:val="single" w:sz="4" w:space="0" w:color="92D050"/>
            </w:tcBorders>
            <w:vAlign w:val="center"/>
          </w:tcPr>
          <w:p w14:paraId="0AD98984" w14:textId="366A9BAE" w:rsidR="00CA6716" w:rsidRPr="008B3505" w:rsidRDefault="00CA6716" w:rsidP="008B4F80">
            <w:pPr>
              <w:widowControl w:val="0"/>
              <w:spacing w:before="40" w:after="120"/>
              <w:rPr>
                <w:rFonts w:cs="Calibri"/>
                <w:sz w:val="24"/>
                <w:szCs w:val="24"/>
                <w:lang w:eastAsia="pl-PL"/>
              </w:rPr>
            </w:pPr>
            <w:r w:rsidRPr="008B3505">
              <w:rPr>
                <w:rFonts w:cs="Calibri"/>
                <w:sz w:val="24"/>
                <w:szCs w:val="24"/>
                <w:lang w:eastAsia="pl-PL"/>
              </w:rPr>
              <w:t>0 pkt – projekt nie przewiduje zakupu autobusów lub przewiduje zakup autobusów niskoemisyjnych</w:t>
            </w:r>
            <w:r>
              <w:rPr>
                <w:rFonts w:cs="Calibri"/>
                <w:sz w:val="24"/>
                <w:szCs w:val="24"/>
                <w:lang w:eastAsia="pl-PL"/>
              </w:rPr>
              <w:t>,</w:t>
            </w:r>
          </w:p>
          <w:p w14:paraId="12326F53" w14:textId="77777777" w:rsidR="00CA6716" w:rsidRDefault="00CA6716" w:rsidP="008B4F80">
            <w:pPr>
              <w:widowControl w:val="0"/>
              <w:spacing w:before="40" w:after="120"/>
              <w:rPr>
                <w:rFonts w:cs="Calibri"/>
                <w:sz w:val="24"/>
                <w:szCs w:val="24"/>
                <w:lang w:eastAsia="pl-PL"/>
              </w:rPr>
            </w:pPr>
            <w:r w:rsidRPr="008B3505">
              <w:rPr>
                <w:rFonts w:cs="Calibri"/>
                <w:sz w:val="24"/>
                <w:szCs w:val="24"/>
                <w:lang w:eastAsia="pl-PL"/>
              </w:rPr>
              <w:t>5 pkt – projekt przewiduje zakup autobusów zeroemisyjnych</w:t>
            </w:r>
            <w:r>
              <w:rPr>
                <w:rFonts w:cs="Calibri"/>
                <w:sz w:val="24"/>
                <w:szCs w:val="24"/>
                <w:lang w:eastAsia="pl-PL"/>
              </w:rPr>
              <w:t>.</w:t>
            </w:r>
          </w:p>
          <w:p w14:paraId="567D4586" w14:textId="4B394195" w:rsidR="00CA6716" w:rsidRPr="008B3505" w:rsidRDefault="00CA6716" w:rsidP="003B23B5">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379CF" w14:textId="77777777" w:rsidR="00CA6716" w:rsidRPr="008B3505" w:rsidRDefault="00CA6716" w:rsidP="008B4F80">
            <w:pPr>
              <w:widowControl w:val="0"/>
              <w:spacing w:after="0"/>
              <w:jc w:val="center"/>
              <w:rPr>
                <w:rFonts w:cs="Calibri"/>
                <w:bCs/>
                <w:sz w:val="24"/>
                <w:szCs w:val="24"/>
                <w:lang w:eastAsia="pl-PL"/>
              </w:rPr>
            </w:pPr>
            <w:r w:rsidRPr="008B3505">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3E4BB8A" w14:textId="77777777" w:rsidR="00CA6716" w:rsidRPr="008B3505" w:rsidRDefault="00CA6716" w:rsidP="008B4F80">
            <w:pPr>
              <w:widowControl w:val="0"/>
              <w:spacing w:after="0"/>
              <w:jc w:val="center"/>
              <w:rPr>
                <w:rFonts w:cs="Calibri"/>
                <w:bCs/>
                <w:sz w:val="24"/>
                <w:szCs w:val="24"/>
                <w:lang w:eastAsia="pl-PL"/>
              </w:rPr>
            </w:pPr>
            <w:r w:rsidRPr="008B3505">
              <w:rPr>
                <w:rFonts w:cs="Calibri"/>
                <w:bCs/>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8FB5F97" w14:textId="77777777" w:rsidR="00CA6716" w:rsidRPr="008B3505" w:rsidRDefault="00CA6716" w:rsidP="008B4F80">
            <w:pPr>
              <w:widowControl w:val="0"/>
              <w:spacing w:after="0"/>
              <w:jc w:val="center"/>
              <w:rPr>
                <w:rFonts w:cs="Calibri"/>
                <w:bCs/>
                <w:sz w:val="24"/>
                <w:szCs w:val="24"/>
                <w:lang w:eastAsia="pl-PL"/>
              </w:rPr>
            </w:pPr>
            <w:r w:rsidRPr="008B3505">
              <w:rPr>
                <w:rFonts w:cs="Calibri"/>
                <w:bCs/>
                <w:sz w:val="24"/>
                <w:szCs w:val="24"/>
                <w:lang w:eastAsia="pl-PL"/>
              </w:rPr>
              <w:t>0 lub 5 pkt</w:t>
            </w:r>
          </w:p>
        </w:tc>
      </w:tr>
      <w:tr w:rsidR="00CA6716" w14:paraId="0DA80C59" w14:textId="124B1BD1" w:rsidTr="00CA6716">
        <w:trPr>
          <w:trHeight w:val="364"/>
        </w:trPr>
        <w:tc>
          <w:tcPr>
            <w:tcW w:w="566" w:type="dxa"/>
            <w:tcBorders>
              <w:left w:val="single" w:sz="4" w:space="0" w:color="92D050"/>
              <w:bottom w:val="single" w:sz="4" w:space="0" w:color="92D050"/>
              <w:right w:val="single" w:sz="4" w:space="0" w:color="92D050"/>
            </w:tcBorders>
            <w:vAlign w:val="center"/>
          </w:tcPr>
          <w:p w14:paraId="340602D0" w14:textId="5272ACD1" w:rsidR="00CA6716" w:rsidRPr="00A3574B" w:rsidRDefault="00CA6716" w:rsidP="008B4F80">
            <w:pPr>
              <w:widowControl w:val="0"/>
              <w:spacing w:after="0"/>
              <w:rPr>
                <w:rFonts w:cs="Calibri"/>
                <w:sz w:val="24"/>
                <w:szCs w:val="24"/>
              </w:rPr>
            </w:pPr>
            <w:r>
              <w:rPr>
                <w:rFonts w:cs="Calibri"/>
                <w:sz w:val="24"/>
                <w:szCs w:val="24"/>
              </w:rPr>
              <w:lastRenderedPageBreak/>
              <w:t>9</w:t>
            </w:r>
            <w:r w:rsidRPr="00A3574B">
              <w:rPr>
                <w:rFonts w:cs="Calibri"/>
                <w:sz w:val="24"/>
                <w:szCs w:val="24"/>
              </w:rPr>
              <w:t>.</w:t>
            </w:r>
          </w:p>
        </w:tc>
        <w:tc>
          <w:tcPr>
            <w:tcW w:w="1847" w:type="dxa"/>
            <w:tcBorders>
              <w:left w:val="single" w:sz="4" w:space="0" w:color="92D050"/>
              <w:bottom w:val="single" w:sz="4" w:space="0" w:color="92D050"/>
              <w:right w:val="single" w:sz="4" w:space="0" w:color="92D050"/>
            </w:tcBorders>
            <w:vAlign w:val="center"/>
          </w:tcPr>
          <w:p w14:paraId="65A6AD7E" w14:textId="77777777" w:rsidR="00CA6716" w:rsidRPr="00A3574B" w:rsidRDefault="00CA6716" w:rsidP="008B4F80">
            <w:pPr>
              <w:widowControl w:val="0"/>
              <w:spacing w:after="0"/>
              <w:rPr>
                <w:rFonts w:cs="Calibri"/>
                <w:sz w:val="24"/>
                <w:szCs w:val="24"/>
                <w:lang w:eastAsia="pl-PL"/>
              </w:rPr>
            </w:pPr>
            <w:r w:rsidRPr="00A3574B">
              <w:rPr>
                <w:rFonts w:cs="Calibri"/>
                <w:sz w:val="24"/>
                <w:szCs w:val="24"/>
                <w:lang w:eastAsia="pl-PL"/>
              </w:rPr>
              <w:t>Udział środków własnych wyższy od minimalnego</w:t>
            </w:r>
          </w:p>
        </w:tc>
        <w:tc>
          <w:tcPr>
            <w:tcW w:w="9212" w:type="dxa"/>
            <w:tcBorders>
              <w:left w:val="single" w:sz="4" w:space="0" w:color="92D050"/>
              <w:bottom w:val="single" w:sz="4" w:space="0" w:color="92D050"/>
              <w:right w:val="single" w:sz="4" w:space="0" w:color="92D050"/>
            </w:tcBorders>
            <w:vAlign w:val="center"/>
          </w:tcPr>
          <w:p w14:paraId="465AA300" w14:textId="77777777" w:rsidR="00CA6716" w:rsidRPr="00A3574B" w:rsidRDefault="00CA6716" w:rsidP="00B27596">
            <w:pPr>
              <w:widowControl w:val="0"/>
              <w:spacing w:after="0"/>
              <w:rPr>
                <w:rFonts w:cs="Calibri"/>
                <w:sz w:val="24"/>
                <w:szCs w:val="24"/>
                <w:lang w:eastAsia="pl-PL"/>
              </w:rPr>
            </w:pPr>
            <w:r w:rsidRPr="00A3574B">
              <w:rPr>
                <w:rFonts w:cs="Calibri"/>
                <w:sz w:val="24"/>
                <w:szCs w:val="24"/>
                <w:lang w:eastAsia="pl-PL"/>
              </w:rPr>
              <w:t>Wkład własny wyższy od minimalnego o:</w:t>
            </w:r>
          </w:p>
          <w:p w14:paraId="1E2C03E1" w14:textId="2A2A682E" w:rsidR="00CA6716" w:rsidRPr="00A3574B" w:rsidRDefault="00CA6716" w:rsidP="00B2759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theme="minorHAnsi"/>
                <w:sz w:val="24"/>
                <w:szCs w:val="24"/>
                <w:lang w:eastAsia="pl-PL"/>
              </w:rPr>
              <w:t>≤</w:t>
            </w:r>
            <w:r w:rsidRPr="00A3574B">
              <w:rPr>
                <w:rFonts w:cs="Calibri"/>
                <w:sz w:val="24"/>
                <w:szCs w:val="24"/>
                <w:lang w:eastAsia="pl-PL"/>
              </w:rPr>
              <w:t xml:space="preserve"> 5</w:t>
            </w:r>
            <w:r>
              <w:rPr>
                <w:rFonts w:cs="Calibri"/>
                <w:sz w:val="24"/>
                <w:szCs w:val="24"/>
                <w:lang w:eastAsia="pl-PL"/>
              </w:rPr>
              <w:t xml:space="preserve"> p.p.</w:t>
            </w:r>
            <w:r w:rsidRPr="00A3574B">
              <w:rPr>
                <w:rFonts w:cs="Calibri"/>
                <w:sz w:val="24"/>
                <w:szCs w:val="24"/>
                <w:lang w:eastAsia="pl-PL"/>
              </w:rPr>
              <w:t xml:space="preserve"> - 0 pkt</w:t>
            </w:r>
            <w:r>
              <w:rPr>
                <w:rFonts w:cs="Calibri"/>
                <w:sz w:val="24"/>
                <w:szCs w:val="24"/>
                <w:lang w:eastAsia="pl-PL"/>
              </w:rPr>
              <w:t>,</w:t>
            </w:r>
          </w:p>
          <w:p w14:paraId="199D9027" w14:textId="37EB698E" w:rsidR="00CA6716" w:rsidRPr="00A3574B" w:rsidRDefault="00CA6716" w:rsidP="00B2759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 xml:space="preserve">&gt;5 p.p. </w:t>
            </w:r>
            <w:r>
              <w:rPr>
                <w:rFonts w:cstheme="minorHAnsi"/>
                <w:sz w:val="24"/>
                <w:szCs w:val="24"/>
                <w:lang w:eastAsia="pl-PL"/>
              </w:rPr>
              <w:t>≤</w:t>
            </w:r>
            <w:r w:rsidRPr="00A3574B">
              <w:rPr>
                <w:rFonts w:cs="Calibri"/>
                <w:sz w:val="24"/>
                <w:szCs w:val="24"/>
                <w:lang w:eastAsia="pl-PL"/>
              </w:rPr>
              <w:t xml:space="preserve"> 10</w:t>
            </w:r>
            <w:r>
              <w:rPr>
                <w:rFonts w:cs="Calibri"/>
                <w:sz w:val="24"/>
                <w:szCs w:val="24"/>
                <w:lang w:eastAsia="pl-PL"/>
              </w:rPr>
              <w:t xml:space="preserve"> p.p.</w:t>
            </w:r>
            <w:r w:rsidRPr="00A3574B">
              <w:rPr>
                <w:rFonts w:cs="Calibri"/>
                <w:sz w:val="24"/>
                <w:szCs w:val="24"/>
                <w:lang w:eastAsia="pl-PL"/>
              </w:rPr>
              <w:t xml:space="preserve"> - 1 pkt</w:t>
            </w:r>
            <w:r>
              <w:rPr>
                <w:rFonts w:cs="Calibri"/>
                <w:sz w:val="24"/>
                <w:szCs w:val="24"/>
                <w:lang w:eastAsia="pl-PL"/>
              </w:rPr>
              <w:t>,</w:t>
            </w:r>
          </w:p>
          <w:p w14:paraId="4CAFF199" w14:textId="5D3D32F1" w:rsidR="00CA6716" w:rsidRPr="00A3574B" w:rsidRDefault="00CA6716" w:rsidP="00B2759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&gt;</w:t>
            </w:r>
            <w:r w:rsidRPr="00A3574B">
              <w:rPr>
                <w:rFonts w:cs="Calibri"/>
                <w:sz w:val="24"/>
                <w:szCs w:val="24"/>
                <w:lang w:eastAsia="pl-PL"/>
              </w:rPr>
              <w:t>1</w:t>
            </w:r>
            <w:r>
              <w:rPr>
                <w:rFonts w:cs="Calibri"/>
                <w:sz w:val="24"/>
                <w:szCs w:val="24"/>
                <w:lang w:eastAsia="pl-PL"/>
              </w:rPr>
              <w:t xml:space="preserve">0 p.p. </w:t>
            </w:r>
            <w:r>
              <w:rPr>
                <w:rFonts w:cstheme="minorHAnsi"/>
                <w:sz w:val="24"/>
                <w:szCs w:val="24"/>
                <w:lang w:eastAsia="pl-PL"/>
              </w:rPr>
              <w:t>≤</w:t>
            </w:r>
            <w:r w:rsidRPr="00A3574B">
              <w:rPr>
                <w:rFonts w:cs="Calibri"/>
                <w:sz w:val="24"/>
                <w:szCs w:val="24"/>
                <w:lang w:eastAsia="pl-PL"/>
              </w:rPr>
              <w:t xml:space="preserve"> 15</w:t>
            </w:r>
            <w:r>
              <w:rPr>
                <w:rFonts w:cs="Calibri"/>
                <w:sz w:val="24"/>
                <w:szCs w:val="24"/>
                <w:lang w:eastAsia="pl-PL"/>
              </w:rPr>
              <w:t xml:space="preserve"> p.p.</w:t>
            </w:r>
            <w:r w:rsidRPr="00A3574B">
              <w:rPr>
                <w:rFonts w:cs="Calibri"/>
                <w:sz w:val="24"/>
                <w:szCs w:val="24"/>
                <w:lang w:eastAsia="pl-PL"/>
              </w:rPr>
              <w:t xml:space="preserve"> - 2 pkt</w:t>
            </w:r>
            <w:r>
              <w:rPr>
                <w:rFonts w:cs="Calibri"/>
                <w:sz w:val="24"/>
                <w:szCs w:val="24"/>
                <w:lang w:eastAsia="pl-PL"/>
              </w:rPr>
              <w:t>,</w:t>
            </w:r>
          </w:p>
          <w:p w14:paraId="5C0FA658" w14:textId="0FD836E6" w:rsidR="00CA6716" w:rsidRDefault="00CA6716" w:rsidP="00B27596">
            <w:pPr>
              <w:widowControl w:val="0"/>
              <w:spacing w:after="120" w:line="240" w:lineRule="auto"/>
              <w:rPr>
                <w:rFonts w:cs="Calibri"/>
                <w:sz w:val="24"/>
                <w:szCs w:val="24"/>
                <w:lang w:eastAsia="pl-PL"/>
              </w:rPr>
            </w:pPr>
            <w:r w:rsidRPr="00A3574B">
              <w:rPr>
                <w:rFonts w:cs="Calibri"/>
                <w:sz w:val="24"/>
                <w:szCs w:val="24"/>
                <w:lang w:eastAsia="pl-PL"/>
              </w:rPr>
              <w:t>- powyżej 15</w:t>
            </w:r>
            <w:r>
              <w:rPr>
                <w:rFonts w:cs="Calibri"/>
                <w:sz w:val="24"/>
                <w:szCs w:val="24"/>
                <w:lang w:eastAsia="pl-PL"/>
              </w:rPr>
              <w:t xml:space="preserve"> p.p.</w:t>
            </w:r>
            <w:r w:rsidRPr="00A3574B">
              <w:rPr>
                <w:rFonts w:cs="Calibri"/>
                <w:sz w:val="24"/>
                <w:szCs w:val="24"/>
                <w:lang w:eastAsia="pl-PL"/>
              </w:rPr>
              <w:t xml:space="preserve"> - 3 pkt</w:t>
            </w:r>
            <w:r>
              <w:rPr>
                <w:rFonts w:cs="Calibri"/>
                <w:sz w:val="24"/>
                <w:szCs w:val="24"/>
                <w:lang w:eastAsia="pl-PL"/>
              </w:rPr>
              <w:t>.</w:t>
            </w:r>
          </w:p>
          <w:p w14:paraId="43CAE0A5" w14:textId="38627C13" w:rsidR="00CA6716" w:rsidRDefault="00CA6716" w:rsidP="00B27596">
            <w:pPr>
              <w:widowControl w:val="0"/>
              <w:spacing w:after="120" w:line="240" w:lineRule="auto"/>
              <w:rPr>
                <w:rFonts w:cs="Calibri"/>
                <w:sz w:val="24"/>
                <w:szCs w:val="24"/>
                <w:lang w:eastAsia="pl-PL"/>
              </w:rPr>
            </w:pPr>
            <w:r>
              <w:rPr>
                <w:rFonts w:cs="Calibri"/>
                <w:sz w:val="24"/>
                <w:szCs w:val="24"/>
                <w:lang w:eastAsia="pl-PL"/>
              </w:rPr>
              <w:t>p.p. – punkt procentowy</w:t>
            </w:r>
          </w:p>
          <w:p w14:paraId="14D454B9" w14:textId="6E95BD54" w:rsidR="00CA6716" w:rsidRPr="00A3574B" w:rsidRDefault="00CA6716" w:rsidP="00F66DF4">
            <w:pPr>
              <w:widowControl w:val="0"/>
              <w:spacing w:after="0"/>
              <w:rPr>
                <w:rFonts w:cs="Calibri"/>
                <w:sz w:val="24"/>
                <w:szCs w:val="24"/>
                <w:lang w:eastAsia="pl-PL"/>
              </w:rPr>
            </w:pPr>
            <w:r w:rsidRPr="00DB15D2">
              <w:rPr>
                <w:rFonts w:cs="Calibri"/>
                <w:sz w:val="24"/>
                <w:szCs w:val="24"/>
                <w:lang w:eastAsia="pl-PL"/>
              </w:rPr>
              <w:t>Kryterium weryfikowane na podstawie zapisów wniosku o dofinansowanie i załączników i/lub wyjaśnień udzielonych przez Wnioskodawcę.</w:t>
            </w:r>
          </w:p>
        </w:tc>
        <w:tc>
          <w:tcPr>
            <w:tcW w:w="1701" w:type="dxa"/>
            <w:tcBorders>
              <w:left w:val="single" w:sz="4" w:space="0" w:color="92D050"/>
              <w:bottom w:val="single" w:sz="4" w:space="0" w:color="92D050"/>
              <w:right w:val="single" w:sz="4" w:space="0" w:color="92D050"/>
            </w:tcBorders>
            <w:shd w:val="clear" w:color="auto" w:fill="FFFFFF"/>
            <w:vAlign w:val="center"/>
          </w:tcPr>
          <w:p w14:paraId="30C30464"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448C393C"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1</w:t>
            </w:r>
          </w:p>
        </w:tc>
        <w:tc>
          <w:tcPr>
            <w:tcW w:w="1419" w:type="dxa"/>
            <w:tcBorders>
              <w:left w:val="single" w:sz="4" w:space="0" w:color="92D050"/>
              <w:bottom w:val="single" w:sz="4" w:space="0" w:color="92D050"/>
              <w:right w:val="single" w:sz="4" w:space="0" w:color="92D050"/>
            </w:tcBorders>
            <w:shd w:val="clear" w:color="auto" w:fill="FFFFFF"/>
            <w:vAlign w:val="center"/>
          </w:tcPr>
          <w:p w14:paraId="527C8285"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rPr>
              <w:t>0-3 pkt</w:t>
            </w:r>
          </w:p>
        </w:tc>
      </w:tr>
      <w:tr w:rsidR="00CA6716" w:rsidRPr="00A3574B" w14:paraId="0265E792" w14:textId="798E1044" w:rsidTr="00CA6716">
        <w:tc>
          <w:tcPr>
            <w:tcW w:w="566" w:type="dxa"/>
            <w:tcBorders>
              <w:left w:val="single" w:sz="4" w:space="0" w:color="92D050"/>
              <w:bottom w:val="single" w:sz="4" w:space="0" w:color="92D050"/>
              <w:right w:val="single" w:sz="4" w:space="0" w:color="92D050"/>
            </w:tcBorders>
            <w:vAlign w:val="center"/>
          </w:tcPr>
          <w:p w14:paraId="7D5006A8" w14:textId="43A24499" w:rsidR="00CA6716" w:rsidRPr="00A3574B" w:rsidRDefault="00CA6716" w:rsidP="008B4F80">
            <w:pPr>
              <w:widowControl w:val="0"/>
              <w:spacing w:after="0"/>
              <w:rPr>
                <w:rFonts w:cs="Calibri"/>
                <w:sz w:val="24"/>
                <w:szCs w:val="24"/>
              </w:rPr>
            </w:pPr>
            <w:r w:rsidRPr="00A3574B">
              <w:rPr>
                <w:rFonts w:cs="Calibri"/>
                <w:sz w:val="24"/>
                <w:szCs w:val="24"/>
              </w:rPr>
              <w:t>1</w:t>
            </w:r>
            <w:r>
              <w:rPr>
                <w:rFonts w:cs="Calibri"/>
                <w:sz w:val="24"/>
                <w:szCs w:val="24"/>
              </w:rPr>
              <w:t>0</w:t>
            </w:r>
            <w:r w:rsidRPr="00A3574B">
              <w:rPr>
                <w:rFonts w:cs="Calibri"/>
                <w:sz w:val="24"/>
                <w:szCs w:val="24"/>
              </w:rPr>
              <w:t>.</w:t>
            </w:r>
          </w:p>
        </w:tc>
        <w:tc>
          <w:tcPr>
            <w:tcW w:w="1847" w:type="dxa"/>
            <w:tcBorders>
              <w:left w:val="single" w:sz="4" w:space="0" w:color="92D050"/>
              <w:bottom w:val="single" w:sz="4" w:space="0" w:color="92D050"/>
              <w:right w:val="single" w:sz="4" w:space="0" w:color="92D050"/>
            </w:tcBorders>
            <w:vAlign w:val="center"/>
          </w:tcPr>
          <w:p w14:paraId="021C5F49" w14:textId="77777777" w:rsidR="00CA6716" w:rsidRPr="00A3574B" w:rsidRDefault="00CA6716" w:rsidP="008B4F80">
            <w:pPr>
              <w:widowControl w:val="0"/>
              <w:spacing w:after="0"/>
              <w:rPr>
                <w:rFonts w:cs="Calibri"/>
                <w:sz w:val="24"/>
                <w:szCs w:val="24"/>
              </w:rPr>
            </w:pPr>
            <w:r w:rsidRPr="00A3574B">
              <w:rPr>
                <w:rFonts w:cs="Calibri"/>
                <w:sz w:val="24"/>
                <w:szCs w:val="24"/>
                <w:lang w:eastAsia="pl-PL"/>
              </w:rPr>
              <w:t xml:space="preserve">Projekt realizowany </w:t>
            </w:r>
            <w:r w:rsidRPr="00A3574B">
              <w:rPr>
                <w:rFonts w:cs="Calibri"/>
                <w:sz w:val="24"/>
                <w:szCs w:val="24"/>
                <w:lang w:eastAsia="pl-PL"/>
              </w:rPr>
              <w:br/>
              <w:t>w partnerstwie</w:t>
            </w:r>
          </w:p>
        </w:tc>
        <w:tc>
          <w:tcPr>
            <w:tcW w:w="9212" w:type="dxa"/>
            <w:tcBorders>
              <w:left w:val="single" w:sz="4" w:space="0" w:color="92D050"/>
              <w:bottom w:val="single" w:sz="4" w:space="0" w:color="92D050"/>
              <w:right w:val="single" w:sz="4" w:space="0" w:color="92D050"/>
            </w:tcBorders>
            <w:vAlign w:val="center"/>
          </w:tcPr>
          <w:p w14:paraId="15801790" w14:textId="77777777" w:rsidR="00CA6716" w:rsidRPr="00A3574B" w:rsidRDefault="00CA6716" w:rsidP="008B4F80">
            <w:pPr>
              <w:pStyle w:val="Akapitzlist"/>
              <w:widowControl w:val="0"/>
              <w:spacing w:after="120"/>
              <w:ind w:left="0"/>
              <w:contextualSpacing w:val="0"/>
              <w:rPr>
                <w:rFonts w:cs="Calibri"/>
                <w:color w:val="000000"/>
                <w:sz w:val="24"/>
                <w:szCs w:val="24"/>
                <w:lang w:eastAsia="pl-PL"/>
              </w:rPr>
            </w:pPr>
            <w:r w:rsidRPr="00A3574B">
              <w:rPr>
                <w:rFonts w:cs="Calibri"/>
                <w:color w:val="000000"/>
                <w:sz w:val="24"/>
                <w:szCs w:val="24"/>
                <w:lang w:eastAsia="pl-PL"/>
              </w:rPr>
              <w:t>Punktowane będą projekty realizowane w ramach partnerstwa/współpracy podmiotów uprawnionych na podstawie SZOP FEO 2021-2027 do otrzymania wsparcia w ramach działania.</w:t>
            </w:r>
          </w:p>
          <w:p w14:paraId="6E14B0F3" w14:textId="0C5FA2BB" w:rsidR="00CA6716" w:rsidRPr="00A3574B" w:rsidRDefault="00CA6716" w:rsidP="00B27596">
            <w:pPr>
              <w:pStyle w:val="Akapitzlist"/>
              <w:widowControl w:val="0"/>
              <w:spacing w:after="120" w:line="240" w:lineRule="auto"/>
              <w:ind w:left="0"/>
              <w:contextualSpacing w:val="0"/>
              <w:rPr>
                <w:rFonts w:cs="Calibri"/>
                <w:color w:val="000000"/>
                <w:sz w:val="24"/>
                <w:szCs w:val="24"/>
                <w:lang w:eastAsia="pl-PL"/>
              </w:rPr>
            </w:pPr>
            <w:r w:rsidRPr="00A3574B">
              <w:rPr>
                <w:rFonts w:cs="Calibri"/>
                <w:color w:val="000000"/>
                <w:sz w:val="24"/>
                <w:szCs w:val="24"/>
                <w:lang w:eastAsia="pl-PL"/>
              </w:rPr>
              <w:t>0 pkt – brak partnerstwa</w:t>
            </w:r>
            <w:r>
              <w:rPr>
                <w:rFonts w:cs="Calibri"/>
                <w:color w:val="000000"/>
                <w:sz w:val="24"/>
                <w:szCs w:val="24"/>
                <w:lang w:eastAsia="pl-PL"/>
              </w:rPr>
              <w:t>,</w:t>
            </w:r>
          </w:p>
          <w:p w14:paraId="2AD54F9E" w14:textId="4BF296B5" w:rsidR="00CA6716" w:rsidRPr="00A3574B" w:rsidRDefault="00CA6716" w:rsidP="00B27596">
            <w:pPr>
              <w:pStyle w:val="Akapitzlist"/>
              <w:widowControl w:val="0"/>
              <w:spacing w:after="120" w:line="240" w:lineRule="auto"/>
              <w:ind w:left="0"/>
              <w:contextualSpacing w:val="0"/>
              <w:rPr>
                <w:rFonts w:cs="Calibri"/>
                <w:color w:val="000000"/>
                <w:sz w:val="24"/>
                <w:szCs w:val="24"/>
                <w:lang w:eastAsia="pl-PL"/>
              </w:rPr>
            </w:pPr>
            <w:r w:rsidRPr="00A3574B">
              <w:rPr>
                <w:rFonts w:cs="Calibri"/>
                <w:color w:val="000000"/>
                <w:sz w:val="24"/>
                <w:szCs w:val="24"/>
                <w:lang w:eastAsia="pl-PL"/>
              </w:rPr>
              <w:t>1 pkt – partnerstwo dwóch podmiotów</w:t>
            </w:r>
            <w:r>
              <w:rPr>
                <w:rFonts w:cs="Calibri"/>
                <w:color w:val="000000"/>
                <w:sz w:val="24"/>
                <w:szCs w:val="24"/>
                <w:lang w:eastAsia="pl-PL"/>
              </w:rPr>
              <w:t>,</w:t>
            </w:r>
          </w:p>
          <w:p w14:paraId="545C2542" w14:textId="348C6F21" w:rsidR="00CA6716" w:rsidRPr="00A3574B" w:rsidRDefault="00CA6716" w:rsidP="00B27596">
            <w:pPr>
              <w:pStyle w:val="Akapitzlist"/>
              <w:widowControl w:val="0"/>
              <w:spacing w:after="120" w:line="240" w:lineRule="auto"/>
              <w:ind w:left="0"/>
              <w:contextualSpacing w:val="0"/>
              <w:rPr>
                <w:rFonts w:cs="Calibri"/>
                <w:color w:val="000000"/>
                <w:sz w:val="24"/>
                <w:szCs w:val="24"/>
                <w:lang w:eastAsia="pl-PL"/>
              </w:rPr>
            </w:pPr>
            <w:r w:rsidRPr="00A3574B">
              <w:rPr>
                <w:rFonts w:cs="Calibri"/>
                <w:color w:val="000000"/>
                <w:sz w:val="24"/>
                <w:szCs w:val="24"/>
                <w:lang w:eastAsia="pl-PL"/>
              </w:rPr>
              <w:t>2 pkt – partnerstwo trzech podmiotów</w:t>
            </w:r>
            <w:r>
              <w:rPr>
                <w:rFonts w:cs="Calibri"/>
                <w:color w:val="000000"/>
                <w:sz w:val="24"/>
                <w:szCs w:val="24"/>
                <w:lang w:eastAsia="pl-PL"/>
              </w:rPr>
              <w:t>,</w:t>
            </w:r>
          </w:p>
          <w:p w14:paraId="595DBF3B" w14:textId="0A900282" w:rsidR="00CA6716" w:rsidRDefault="00CA6716" w:rsidP="00B27596">
            <w:pPr>
              <w:widowControl w:val="0"/>
              <w:spacing w:after="120" w:line="240" w:lineRule="auto"/>
              <w:rPr>
                <w:rFonts w:cs="Calibri"/>
                <w:color w:val="000000"/>
                <w:sz w:val="24"/>
                <w:szCs w:val="24"/>
                <w:lang w:eastAsia="pl-PL"/>
              </w:rPr>
            </w:pPr>
            <w:r w:rsidRPr="00A3574B">
              <w:rPr>
                <w:rFonts w:cs="Calibri"/>
                <w:color w:val="000000"/>
                <w:sz w:val="24"/>
                <w:szCs w:val="24"/>
                <w:lang w:eastAsia="pl-PL"/>
              </w:rPr>
              <w:t>3 pkt – partnerstwo 4 i więcej podmiotów</w:t>
            </w:r>
            <w:r>
              <w:rPr>
                <w:rFonts w:cs="Calibri"/>
                <w:color w:val="000000"/>
                <w:sz w:val="24"/>
                <w:szCs w:val="24"/>
                <w:lang w:eastAsia="pl-PL"/>
              </w:rPr>
              <w:t>.</w:t>
            </w:r>
          </w:p>
          <w:p w14:paraId="6E0E2C0A" w14:textId="018D354F" w:rsidR="00CA6716" w:rsidRPr="00A3574B" w:rsidRDefault="00CA6716" w:rsidP="003B23B5">
            <w:pPr>
              <w:widowControl w:val="0"/>
              <w:spacing w:after="0"/>
              <w:rPr>
                <w:rFonts w:cs="Calibri"/>
                <w:sz w:val="24"/>
                <w:szCs w:val="24"/>
                <w:lang w:eastAsia="pl-PL"/>
              </w:rPr>
            </w:pPr>
            <w:r w:rsidRPr="00DB15D2">
              <w:rPr>
                <w:rFonts w:cs="Calibri"/>
                <w:color w:val="000000"/>
                <w:sz w:val="24"/>
                <w:szCs w:val="24"/>
                <w:lang w:eastAsia="pl-PL"/>
              </w:rPr>
              <w:t>Kryterium weryfikowane na podstawie zapisów wniosku o dofinansowanie i załączników i/lub wyjaśnień udzielonych przez Wnioskodawcę.</w:t>
            </w:r>
          </w:p>
        </w:tc>
        <w:tc>
          <w:tcPr>
            <w:tcW w:w="1701" w:type="dxa"/>
            <w:tcBorders>
              <w:left w:val="single" w:sz="4" w:space="0" w:color="92D050"/>
              <w:bottom w:val="single" w:sz="4" w:space="0" w:color="92D050"/>
              <w:right w:val="single" w:sz="4" w:space="0" w:color="92D050"/>
            </w:tcBorders>
            <w:shd w:val="clear" w:color="auto" w:fill="FFFFFF"/>
            <w:vAlign w:val="center"/>
          </w:tcPr>
          <w:p w14:paraId="30BC7E62"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left w:val="single" w:sz="4" w:space="0" w:color="92D050"/>
              <w:bottom w:val="single" w:sz="4" w:space="0" w:color="92D050"/>
              <w:right w:val="single" w:sz="4" w:space="0" w:color="92D050"/>
            </w:tcBorders>
            <w:shd w:val="clear" w:color="auto" w:fill="FFFFFF"/>
            <w:vAlign w:val="center"/>
          </w:tcPr>
          <w:p w14:paraId="4A494E17"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1</w:t>
            </w:r>
          </w:p>
        </w:tc>
        <w:tc>
          <w:tcPr>
            <w:tcW w:w="1419" w:type="dxa"/>
            <w:tcBorders>
              <w:left w:val="single" w:sz="4" w:space="0" w:color="92D050"/>
              <w:bottom w:val="single" w:sz="4" w:space="0" w:color="92D050"/>
              <w:right w:val="single" w:sz="4" w:space="0" w:color="92D050"/>
            </w:tcBorders>
            <w:shd w:val="clear" w:color="auto" w:fill="FFFFFF"/>
            <w:vAlign w:val="center"/>
          </w:tcPr>
          <w:p w14:paraId="7945B60C" w14:textId="77777777" w:rsidR="00CA6716" w:rsidRPr="00A3574B" w:rsidRDefault="00CA6716" w:rsidP="008B4F80">
            <w:pPr>
              <w:widowControl w:val="0"/>
              <w:spacing w:after="0"/>
              <w:jc w:val="center"/>
              <w:rPr>
                <w:rFonts w:cs="Calibri"/>
                <w:bCs/>
                <w:sz w:val="24"/>
                <w:szCs w:val="24"/>
                <w:lang w:eastAsia="pl-PL"/>
              </w:rPr>
            </w:pPr>
            <w:r w:rsidRPr="00A3574B">
              <w:rPr>
                <w:rFonts w:cs="Calibri"/>
                <w:bCs/>
                <w:sz w:val="24"/>
                <w:szCs w:val="24"/>
                <w:lang w:eastAsia="pl-PL"/>
              </w:rPr>
              <w:t>0-3 pkt</w:t>
            </w:r>
          </w:p>
        </w:tc>
      </w:tr>
    </w:tbl>
    <w:p w14:paraId="618DC2D8" w14:textId="20EC9DC3" w:rsidR="003B23B5" w:rsidRDefault="003B23B5">
      <w:pPr>
        <w:rPr>
          <w:b/>
        </w:rPr>
      </w:pPr>
    </w:p>
    <w:p w14:paraId="306D10AA" w14:textId="77777777" w:rsidR="003B23B5" w:rsidRDefault="003B23B5">
      <w:pPr>
        <w:spacing w:after="0" w:line="240" w:lineRule="auto"/>
        <w:rPr>
          <w:b/>
        </w:rPr>
      </w:pPr>
      <w:r>
        <w:rPr>
          <w:b/>
        </w:rPr>
        <w:br w:type="page"/>
      </w:r>
    </w:p>
    <w:tbl>
      <w:tblPr>
        <w:tblW w:w="5724" w:type="pct"/>
        <w:tblInd w:w="-998" w:type="dxa"/>
        <w:tblLayout w:type="fixed"/>
        <w:tblCellMar>
          <w:top w:w="57" w:type="dxa"/>
          <w:left w:w="70" w:type="dxa"/>
          <w:bottom w:w="57" w:type="dxa"/>
          <w:right w:w="70" w:type="dxa"/>
        </w:tblCellMar>
        <w:tblLook w:val="00A0" w:firstRow="1" w:lastRow="0" w:firstColumn="1" w:lastColumn="0" w:noHBand="0" w:noVBand="0"/>
      </w:tblPr>
      <w:tblGrid>
        <w:gridCol w:w="16020"/>
      </w:tblGrid>
      <w:tr w:rsidR="00132BEC" w:rsidRPr="009D1E98" w14:paraId="06EA5942" w14:textId="77777777" w:rsidTr="003B23B5">
        <w:trPr>
          <w:trHeight w:val="308"/>
          <w:tblHeader/>
        </w:trPr>
        <w:tc>
          <w:tcPr>
            <w:tcW w:w="16020" w:type="dxa"/>
            <w:tcBorders>
              <w:top w:val="single" w:sz="4" w:space="0" w:color="92D050"/>
              <w:left w:val="single" w:sz="4" w:space="0" w:color="92D050"/>
              <w:bottom w:val="single" w:sz="4" w:space="0" w:color="92D050"/>
              <w:right w:val="single" w:sz="4" w:space="0" w:color="92D050"/>
            </w:tcBorders>
            <w:shd w:val="clear" w:color="auto" w:fill="CCFF66"/>
            <w:vAlign w:val="center"/>
          </w:tcPr>
          <w:p w14:paraId="06668686" w14:textId="77777777" w:rsidR="00132BEC" w:rsidRDefault="00132BEC" w:rsidP="00D3558E">
            <w:pPr>
              <w:widowControl w:val="0"/>
              <w:spacing w:after="0" w:line="240" w:lineRule="auto"/>
              <w:rPr>
                <w:rFonts w:cs="Calibri"/>
                <w:b/>
                <w:color w:val="000099"/>
                <w:sz w:val="24"/>
                <w:szCs w:val="24"/>
                <w:lang w:eastAsia="pl-PL"/>
              </w:rPr>
            </w:pPr>
            <w:r w:rsidRPr="00C02607">
              <w:rPr>
                <w:rFonts w:cs="Calibri"/>
                <w:b/>
                <w:color w:val="000099"/>
                <w:sz w:val="24"/>
                <w:szCs w:val="24"/>
                <w:lang w:eastAsia="pl-PL"/>
              </w:rPr>
              <w:lastRenderedPageBreak/>
              <w:t>Typ przedsięwzięcia:</w:t>
            </w:r>
          </w:p>
          <w:p w14:paraId="2643824C" w14:textId="5B161EC3" w:rsidR="00132BEC" w:rsidRPr="009D1E98" w:rsidRDefault="00132BEC" w:rsidP="00D3558E">
            <w:pPr>
              <w:widowControl w:val="0"/>
              <w:spacing w:after="0" w:line="240" w:lineRule="auto"/>
              <w:rPr>
                <w:b/>
                <w:color w:val="000099"/>
                <w:sz w:val="24"/>
                <w:szCs w:val="24"/>
                <w:lang w:eastAsia="pl-PL"/>
              </w:rPr>
            </w:pPr>
            <w:r w:rsidRPr="00C02607">
              <w:rPr>
                <w:rFonts w:cs="Calibri"/>
                <w:b/>
                <w:bCs/>
                <w:color w:val="000099"/>
                <w:sz w:val="24"/>
                <w:szCs w:val="24"/>
                <w:lang w:eastAsia="pl-PL"/>
              </w:rPr>
              <w:t>8. Realizacja działań związanych z przygotowaniem i aktualizacją planów zrównoważonej mobilności miejskiej (SUMP)</w:t>
            </w:r>
            <w:r w:rsidR="006332DD">
              <w:rPr>
                <w:rFonts w:cs="Calibri"/>
                <w:b/>
                <w:bCs/>
                <w:color w:val="000099"/>
                <w:sz w:val="24"/>
                <w:szCs w:val="24"/>
                <w:lang w:eastAsia="pl-PL"/>
              </w:rPr>
              <w:t xml:space="preserve"> – jako samodzielny projekt</w:t>
            </w:r>
            <w:r w:rsidRPr="00C02607">
              <w:rPr>
                <w:rFonts w:cs="Calibri"/>
                <w:b/>
                <w:bCs/>
                <w:color w:val="000099"/>
                <w:sz w:val="24"/>
                <w:szCs w:val="24"/>
                <w:lang w:eastAsia="pl-PL"/>
              </w:rPr>
              <w:t>.</w:t>
            </w:r>
          </w:p>
        </w:tc>
      </w:tr>
    </w:tbl>
    <w:p w14:paraId="1678BC20" w14:textId="77777777" w:rsidR="0018164B" w:rsidRPr="00132BEC" w:rsidRDefault="0018164B">
      <w:pPr>
        <w:rPr>
          <w:b/>
          <w:sz w:val="2"/>
          <w:szCs w:val="2"/>
        </w:rPr>
      </w:pPr>
    </w:p>
    <w:tbl>
      <w:tblPr>
        <w:tblW w:w="5724" w:type="pct"/>
        <w:tblInd w:w="-998" w:type="dxa"/>
        <w:tblLayout w:type="fixed"/>
        <w:tblCellMar>
          <w:top w:w="57" w:type="dxa"/>
          <w:left w:w="70" w:type="dxa"/>
          <w:bottom w:w="57" w:type="dxa"/>
          <w:right w:w="70" w:type="dxa"/>
        </w:tblCellMar>
        <w:tblLook w:val="00A0" w:firstRow="1" w:lastRow="0" w:firstColumn="1" w:lastColumn="0" w:noHBand="0" w:noVBand="0"/>
      </w:tblPr>
      <w:tblGrid>
        <w:gridCol w:w="567"/>
        <w:gridCol w:w="1988"/>
        <w:gridCol w:w="9070"/>
        <w:gridCol w:w="1701"/>
        <w:gridCol w:w="1275"/>
        <w:gridCol w:w="1419"/>
      </w:tblGrid>
      <w:tr w:rsidR="00CA6716" w14:paraId="1DC0E435" w14:textId="77777777" w:rsidTr="00CA6716">
        <w:trPr>
          <w:trHeight w:val="308"/>
          <w:tblHeader/>
        </w:trPr>
        <w:tc>
          <w:tcPr>
            <w:tcW w:w="16020" w:type="dxa"/>
            <w:gridSpan w:val="6"/>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55A8C30" w14:textId="33AB7E92" w:rsidR="00CA6716" w:rsidRPr="008B4F80" w:rsidRDefault="00CA6716" w:rsidP="00CA6716">
            <w:pPr>
              <w:widowControl w:val="0"/>
              <w:spacing w:after="0"/>
              <w:rPr>
                <w:rFonts w:cs="Calibri"/>
                <w:b/>
                <w:color w:val="000099"/>
                <w:sz w:val="24"/>
                <w:szCs w:val="24"/>
                <w:lang w:eastAsia="pl-PL"/>
              </w:rPr>
            </w:pPr>
            <w:r w:rsidRPr="00924C40">
              <w:rPr>
                <w:rFonts w:cs="Calibri"/>
                <w:b/>
                <w:bCs/>
                <w:color w:val="000099"/>
                <w:sz w:val="24"/>
                <w:szCs w:val="24"/>
                <w:lang w:eastAsia="pl-PL"/>
              </w:rPr>
              <w:t>Kryteria merytoryczne szczegółowe (punktowane)</w:t>
            </w:r>
          </w:p>
        </w:tc>
      </w:tr>
      <w:tr w:rsidR="00CA6716" w14:paraId="4EEB93E1" w14:textId="7F041F7C" w:rsidTr="00CA6716">
        <w:trPr>
          <w:trHeight w:val="308"/>
          <w:tblHeader/>
        </w:trPr>
        <w:tc>
          <w:tcPr>
            <w:tcW w:w="56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4EF7F99" w14:textId="557A3C0A" w:rsidR="00CA6716" w:rsidRPr="008B4F80" w:rsidRDefault="00CA6716" w:rsidP="00C03A63">
            <w:pPr>
              <w:widowControl w:val="0"/>
              <w:spacing w:after="0"/>
              <w:jc w:val="center"/>
              <w:rPr>
                <w:rFonts w:cs="Calibri"/>
                <w:b/>
                <w:bCs/>
                <w:color w:val="000099"/>
                <w:sz w:val="24"/>
                <w:szCs w:val="24"/>
              </w:rPr>
            </w:pPr>
            <w:r>
              <w:rPr>
                <w:rFonts w:cs="Calibri"/>
                <w:b/>
                <w:bCs/>
                <w:color w:val="000099"/>
                <w:sz w:val="24"/>
                <w:szCs w:val="24"/>
              </w:rPr>
              <w:t>L</w:t>
            </w:r>
            <w:r w:rsidRPr="008B4F80">
              <w:rPr>
                <w:rFonts w:cs="Calibri"/>
                <w:b/>
                <w:bCs/>
                <w:color w:val="000099"/>
                <w:sz w:val="24"/>
                <w:szCs w:val="24"/>
              </w:rPr>
              <w:t>p.</w:t>
            </w:r>
          </w:p>
        </w:tc>
        <w:tc>
          <w:tcPr>
            <w:tcW w:w="198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72FEC807" w14:textId="77777777" w:rsidR="00CA6716" w:rsidRPr="008B4F80" w:rsidRDefault="00CA6716" w:rsidP="00C03A63">
            <w:pPr>
              <w:widowControl w:val="0"/>
              <w:spacing w:after="0"/>
              <w:jc w:val="center"/>
              <w:rPr>
                <w:rFonts w:cs="Calibri"/>
                <w:b/>
                <w:bCs/>
                <w:color w:val="000099"/>
                <w:sz w:val="24"/>
                <w:szCs w:val="24"/>
              </w:rPr>
            </w:pPr>
            <w:r w:rsidRPr="008B4F80">
              <w:rPr>
                <w:rFonts w:cs="Calibri"/>
                <w:b/>
                <w:bCs/>
                <w:color w:val="000099"/>
                <w:sz w:val="24"/>
                <w:szCs w:val="24"/>
              </w:rPr>
              <w:t>Nazwa kryterium</w:t>
            </w:r>
          </w:p>
        </w:tc>
        <w:tc>
          <w:tcPr>
            <w:tcW w:w="907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34CA9C4" w14:textId="77777777" w:rsidR="00CA6716" w:rsidRPr="008B4F80" w:rsidRDefault="00CA6716" w:rsidP="00C03A63">
            <w:pPr>
              <w:widowControl w:val="0"/>
              <w:spacing w:after="0"/>
              <w:jc w:val="center"/>
              <w:rPr>
                <w:rFonts w:cs="Calibri"/>
                <w:b/>
                <w:bCs/>
                <w:color w:val="000099"/>
                <w:sz w:val="24"/>
                <w:szCs w:val="24"/>
              </w:rPr>
            </w:pPr>
            <w:r w:rsidRPr="008B4F80">
              <w:rPr>
                <w:rFonts w:cs="Calibri"/>
                <w:b/>
                <w:bCs/>
                <w:color w:val="000099"/>
                <w:sz w:val="24"/>
                <w:szCs w:val="24"/>
              </w:rPr>
              <w:t>Definicja</w:t>
            </w: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F198A1D" w14:textId="77777777" w:rsidR="00CA6716" w:rsidRPr="008B4F80" w:rsidRDefault="00CA6716" w:rsidP="00C03A63">
            <w:pPr>
              <w:widowControl w:val="0"/>
              <w:spacing w:after="0"/>
              <w:jc w:val="center"/>
              <w:rPr>
                <w:rFonts w:cs="Calibri"/>
                <w:b/>
                <w:color w:val="000099"/>
                <w:sz w:val="24"/>
                <w:szCs w:val="24"/>
                <w:lang w:eastAsia="pl-PL"/>
              </w:rPr>
            </w:pPr>
            <w:r w:rsidRPr="008B4F80">
              <w:rPr>
                <w:rFonts w:cs="Calibri"/>
                <w:b/>
                <w:color w:val="000099"/>
                <w:sz w:val="24"/>
                <w:szCs w:val="24"/>
                <w:lang w:eastAsia="pl-PL"/>
              </w:rPr>
              <w:t>Opis znaczenia kryterium</w:t>
            </w:r>
          </w:p>
        </w:tc>
        <w:tc>
          <w:tcPr>
            <w:tcW w:w="127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1D44012" w14:textId="77777777" w:rsidR="00CA6716" w:rsidRPr="008B4F80" w:rsidRDefault="00CA6716" w:rsidP="00C03A63">
            <w:pPr>
              <w:widowControl w:val="0"/>
              <w:spacing w:after="0"/>
              <w:jc w:val="center"/>
              <w:rPr>
                <w:rFonts w:cs="Calibri"/>
                <w:b/>
                <w:color w:val="000099"/>
                <w:sz w:val="24"/>
                <w:szCs w:val="24"/>
                <w:lang w:eastAsia="pl-PL"/>
              </w:rPr>
            </w:pPr>
            <w:r w:rsidRPr="008B4F80">
              <w:rPr>
                <w:rFonts w:cs="Calibri"/>
                <w:b/>
                <w:color w:val="000099"/>
                <w:sz w:val="24"/>
                <w:szCs w:val="24"/>
                <w:lang w:eastAsia="pl-PL"/>
              </w:rPr>
              <w:t>Waga</w:t>
            </w:r>
          </w:p>
        </w:tc>
        <w:tc>
          <w:tcPr>
            <w:tcW w:w="141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6AABB98" w14:textId="77777777" w:rsidR="00CA6716" w:rsidRPr="008B4F80" w:rsidRDefault="00CA6716" w:rsidP="00C03A63">
            <w:pPr>
              <w:widowControl w:val="0"/>
              <w:spacing w:after="0"/>
              <w:jc w:val="center"/>
              <w:rPr>
                <w:rFonts w:cs="Calibri"/>
                <w:b/>
                <w:color w:val="000099"/>
                <w:sz w:val="24"/>
                <w:szCs w:val="24"/>
                <w:lang w:eastAsia="pl-PL"/>
              </w:rPr>
            </w:pPr>
            <w:r w:rsidRPr="008B4F80">
              <w:rPr>
                <w:rFonts w:cs="Calibri"/>
                <w:b/>
                <w:color w:val="000099"/>
                <w:sz w:val="24"/>
                <w:szCs w:val="24"/>
                <w:lang w:eastAsia="pl-PL"/>
              </w:rPr>
              <w:t>Punktacja</w:t>
            </w:r>
          </w:p>
        </w:tc>
      </w:tr>
      <w:tr w:rsidR="00CA6716" w14:paraId="6E15DB36" w14:textId="0C065E6A" w:rsidTr="00CA6716">
        <w:trPr>
          <w:trHeight w:val="255"/>
          <w:tblHeader/>
        </w:trPr>
        <w:tc>
          <w:tcPr>
            <w:tcW w:w="56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3E94FA87" w14:textId="77777777"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1</w:t>
            </w:r>
          </w:p>
        </w:tc>
        <w:tc>
          <w:tcPr>
            <w:tcW w:w="198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745BD412" w14:textId="77777777"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2</w:t>
            </w:r>
          </w:p>
        </w:tc>
        <w:tc>
          <w:tcPr>
            <w:tcW w:w="907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01E3BE3D" w14:textId="77777777"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3</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1905DBD7" w14:textId="2794F9EB"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4</w:t>
            </w:r>
          </w:p>
        </w:tc>
        <w:tc>
          <w:tcPr>
            <w:tcW w:w="1275"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10CF8AFF" w14:textId="742E3F2D" w:rsidR="00CA6716" w:rsidRPr="00C03A63" w:rsidRDefault="00CA6716" w:rsidP="00C03A63">
            <w:pPr>
              <w:widowControl w:val="0"/>
              <w:spacing w:after="0"/>
              <w:jc w:val="center"/>
              <w:rPr>
                <w:rFonts w:cs="Calibri"/>
                <w:bCs/>
                <w:i/>
                <w:color w:val="000099"/>
                <w:sz w:val="24"/>
                <w:szCs w:val="24"/>
              </w:rPr>
            </w:pPr>
            <w:r w:rsidRPr="00C03A63">
              <w:rPr>
                <w:rFonts w:cs="Calibri"/>
                <w:bCs/>
                <w:i/>
                <w:color w:val="000099"/>
                <w:sz w:val="24"/>
                <w:szCs w:val="24"/>
              </w:rPr>
              <w:t>5</w:t>
            </w:r>
          </w:p>
        </w:tc>
        <w:tc>
          <w:tcPr>
            <w:tcW w:w="141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tcPr>
          <w:p w14:paraId="0514127C" w14:textId="3AB0EE49" w:rsidR="00CA6716" w:rsidRPr="00C03A63" w:rsidRDefault="00CA6716" w:rsidP="00C03A63">
            <w:pPr>
              <w:widowControl w:val="0"/>
              <w:spacing w:after="0"/>
              <w:jc w:val="center"/>
              <w:rPr>
                <w:rFonts w:cs="Calibri"/>
                <w:bCs/>
                <w:i/>
                <w:color w:val="000099"/>
                <w:sz w:val="24"/>
                <w:szCs w:val="24"/>
              </w:rPr>
            </w:pPr>
            <w:r w:rsidRPr="00C03A63">
              <w:rPr>
                <w:rFonts w:cs="Calibri"/>
                <w:i/>
                <w:color w:val="000099"/>
                <w:sz w:val="24"/>
                <w:szCs w:val="24"/>
                <w:lang w:eastAsia="pl-PL"/>
              </w:rPr>
              <w:t>6</w:t>
            </w:r>
          </w:p>
        </w:tc>
      </w:tr>
      <w:tr w:rsidR="00CA6716" w14:paraId="26DF6B17" w14:textId="793822CB" w:rsidTr="00CA6716">
        <w:trPr>
          <w:trHeight w:val="644"/>
        </w:trPr>
        <w:tc>
          <w:tcPr>
            <w:tcW w:w="567" w:type="dxa"/>
            <w:tcBorders>
              <w:top w:val="single" w:sz="4" w:space="0" w:color="92D050"/>
              <w:left w:val="single" w:sz="4" w:space="0" w:color="92D050"/>
              <w:bottom w:val="single" w:sz="4" w:space="0" w:color="92D050"/>
              <w:right w:val="single" w:sz="4" w:space="0" w:color="92D050"/>
            </w:tcBorders>
            <w:vAlign w:val="center"/>
          </w:tcPr>
          <w:p w14:paraId="73F7D899" w14:textId="57943394" w:rsidR="00CA6716" w:rsidRPr="00A3574B" w:rsidRDefault="00CA6716" w:rsidP="008B4F80">
            <w:pPr>
              <w:widowControl w:val="0"/>
              <w:spacing w:after="120"/>
              <w:rPr>
                <w:rFonts w:cs="Calibri"/>
                <w:sz w:val="24"/>
                <w:szCs w:val="24"/>
              </w:rPr>
            </w:pPr>
            <w:r>
              <w:rPr>
                <w:rFonts w:cs="Calibri"/>
                <w:sz w:val="24"/>
                <w:szCs w:val="24"/>
              </w:rPr>
              <w:t>1.</w:t>
            </w:r>
          </w:p>
        </w:tc>
        <w:tc>
          <w:tcPr>
            <w:tcW w:w="1988" w:type="dxa"/>
            <w:tcBorders>
              <w:top w:val="single" w:sz="4" w:space="0" w:color="92D050"/>
              <w:left w:val="single" w:sz="4" w:space="0" w:color="92D050"/>
              <w:bottom w:val="single" w:sz="4" w:space="0" w:color="92D050"/>
              <w:right w:val="single" w:sz="4" w:space="0" w:color="92D050"/>
            </w:tcBorders>
            <w:vAlign w:val="center"/>
          </w:tcPr>
          <w:p w14:paraId="063D4F3C" w14:textId="29CA395D" w:rsidR="00CA6716" w:rsidRPr="00A3574B" w:rsidRDefault="00CA6716" w:rsidP="008B4F80">
            <w:pPr>
              <w:widowControl w:val="0"/>
              <w:spacing w:after="120"/>
              <w:rPr>
                <w:rFonts w:ascii="Calibri" w:hAnsi="Calibri" w:cs="Calibri"/>
                <w:bCs/>
                <w:sz w:val="24"/>
                <w:szCs w:val="24"/>
              </w:rPr>
            </w:pPr>
            <w:r>
              <w:rPr>
                <w:rFonts w:ascii="Calibri" w:hAnsi="Calibri" w:cs="Calibri"/>
                <w:bCs/>
                <w:sz w:val="24"/>
                <w:szCs w:val="24"/>
              </w:rPr>
              <w:t>Zawiązana współpraca instytucjonalna</w:t>
            </w:r>
          </w:p>
        </w:tc>
        <w:tc>
          <w:tcPr>
            <w:tcW w:w="9070" w:type="dxa"/>
            <w:tcBorders>
              <w:top w:val="single" w:sz="4" w:space="0" w:color="92D050"/>
              <w:left w:val="single" w:sz="4" w:space="0" w:color="92D050"/>
              <w:bottom w:val="single" w:sz="4" w:space="0" w:color="92D050"/>
              <w:right w:val="single" w:sz="4" w:space="0" w:color="92D050"/>
            </w:tcBorders>
            <w:vAlign w:val="center"/>
          </w:tcPr>
          <w:p w14:paraId="2426CEC0" w14:textId="77777777" w:rsidR="00CA6716" w:rsidRPr="00FA19A0" w:rsidRDefault="00CA6716" w:rsidP="00FA19A0">
            <w:pPr>
              <w:pStyle w:val="Default"/>
              <w:spacing w:line="276" w:lineRule="auto"/>
              <w:rPr>
                <w:rFonts w:asciiTheme="minorHAnsi" w:hAnsiTheme="minorHAnsi" w:cstheme="minorHAnsi"/>
              </w:rPr>
            </w:pPr>
            <w:r w:rsidRPr="00FA19A0">
              <w:rPr>
                <w:rFonts w:asciiTheme="minorHAnsi" w:hAnsiTheme="minorHAnsi" w:cstheme="minorHAnsi"/>
              </w:rPr>
              <w:t>Ocenie podlegać będzie dokumentacja potwierdzająca</w:t>
            </w:r>
            <w:r>
              <w:rPr>
                <w:sz w:val="20"/>
                <w:szCs w:val="20"/>
              </w:rPr>
              <w:t xml:space="preserve"> </w:t>
            </w:r>
            <w:r w:rsidRPr="00FA19A0">
              <w:rPr>
                <w:rFonts w:asciiTheme="minorHAnsi" w:hAnsiTheme="minorHAnsi" w:cstheme="minorHAnsi"/>
              </w:rPr>
              <w:t xml:space="preserve">zawiązanie współpracy między gminami tworzącymi obszar funkcjonalny (współpraca horyzontalna) oraz powołanie struktur odpowiedzialnych za przygotowanie i wdrożenie SUMP (współpraca wertykalna). </w:t>
            </w:r>
          </w:p>
          <w:p w14:paraId="7FD657D7" w14:textId="482ACA84" w:rsidR="00CA6716" w:rsidRPr="00FA19A0" w:rsidRDefault="00CA6716" w:rsidP="00FA19A0">
            <w:pPr>
              <w:pStyle w:val="Default"/>
              <w:spacing w:line="276" w:lineRule="auto"/>
              <w:rPr>
                <w:rFonts w:asciiTheme="minorHAnsi" w:hAnsiTheme="minorHAnsi" w:cstheme="minorHAnsi"/>
              </w:rPr>
            </w:pPr>
            <w:r>
              <w:rPr>
                <w:rFonts w:asciiTheme="minorHAnsi" w:hAnsiTheme="minorHAnsi" w:cstheme="minorHAnsi"/>
              </w:rPr>
              <w:t>2 pkt</w:t>
            </w:r>
            <w:r w:rsidRPr="00FA19A0">
              <w:rPr>
                <w:rFonts w:asciiTheme="minorHAnsi" w:hAnsiTheme="minorHAnsi" w:cstheme="minorHAnsi"/>
              </w:rPr>
              <w:t xml:space="preserve"> – wskazano podmioty (jednostki administracyjne), zaangażowane w opracowanie oraz wdrożenie SUMP, w tym podmiot wiodący oraz podmioty współpracujące</w:t>
            </w:r>
            <w:r>
              <w:rPr>
                <w:rFonts w:asciiTheme="minorHAnsi" w:hAnsiTheme="minorHAnsi" w:cstheme="minorHAnsi"/>
              </w:rPr>
              <w:t>;</w:t>
            </w:r>
            <w:r w:rsidRPr="00FA19A0">
              <w:rPr>
                <w:rFonts w:asciiTheme="minorHAnsi" w:hAnsiTheme="minorHAnsi" w:cstheme="minorHAnsi"/>
              </w:rPr>
              <w:t xml:space="preserve"> </w:t>
            </w:r>
          </w:p>
          <w:p w14:paraId="5CF4C6DE" w14:textId="0F0BC5BA" w:rsidR="00CA6716" w:rsidRPr="00FA19A0" w:rsidRDefault="00CA6716" w:rsidP="00FA19A0">
            <w:pPr>
              <w:pStyle w:val="Default"/>
              <w:spacing w:line="276" w:lineRule="auto"/>
              <w:rPr>
                <w:rFonts w:asciiTheme="minorHAnsi" w:hAnsiTheme="minorHAnsi" w:cstheme="minorHAnsi"/>
              </w:rPr>
            </w:pPr>
            <w:r>
              <w:rPr>
                <w:rFonts w:asciiTheme="minorHAnsi" w:hAnsiTheme="minorHAnsi" w:cstheme="minorHAnsi"/>
              </w:rPr>
              <w:t>3 pkt</w:t>
            </w:r>
            <w:r w:rsidRPr="00FA19A0">
              <w:rPr>
                <w:rFonts w:asciiTheme="minorHAnsi" w:hAnsiTheme="minorHAnsi" w:cstheme="minorHAnsi"/>
              </w:rPr>
              <w:t xml:space="preserve"> – podpisano dokumenty regulujące zasady współpracy i podział obowiązków pomiędzy podmiotami zaangażowanymi w opracowanie oraz wdrożenie SUMP</w:t>
            </w:r>
            <w:r>
              <w:rPr>
                <w:rFonts w:asciiTheme="minorHAnsi" w:hAnsiTheme="minorHAnsi" w:cstheme="minorHAnsi"/>
              </w:rPr>
              <w:t>;</w:t>
            </w:r>
            <w:r w:rsidRPr="00FA19A0">
              <w:rPr>
                <w:rFonts w:asciiTheme="minorHAnsi" w:hAnsiTheme="minorHAnsi" w:cstheme="minorHAnsi"/>
              </w:rPr>
              <w:t xml:space="preserve"> </w:t>
            </w:r>
          </w:p>
          <w:p w14:paraId="7A1054BE" w14:textId="77777777" w:rsidR="00CA6716" w:rsidRDefault="00CA6716" w:rsidP="00FA19A0">
            <w:pPr>
              <w:pStyle w:val="Default"/>
              <w:spacing w:line="276" w:lineRule="auto"/>
              <w:rPr>
                <w:rFonts w:asciiTheme="minorHAnsi" w:hAnsiTheme="minorHAnsi" w:cstheme="minorHAnsi"/>
              </w:rPr>
            </w:pPr>
            <w:r w:rsidRPr="00FA19A0">
              <w:rPr>
                <w:rFonts w:asciiTheme="minorHAnsi" w:hAnsiTheme="minorHAnsi" w:cstheme="minorHAnsi"/>
              </w:rPr>
              <w:t>1 pkt – powołano koordynatora procesu planowania prac nad SUMP oraz zespół odpowiedzialny za przygotowanie oraz wdrożenie SUMP</w:t>
            </w:r>
            <w:r>
              <w:rPr>
                <w:rFonts w:asciiTheme="minorHAnsi" w:hAnsiTheme="minorHAnsi" w:cstheme="minorHAnsi"/>
              </w:rPr>
              <w:t>.</w:t>
            </w:r>
          </w:p>
          <w:p w14:paraId="357E24EA" w14:textId="5F900697" w:rsidR="00CA6716" w:rsidRPr="00FA19A0" w:rsidRDefault="00CA6716" w:rsidP="00FA19A0">
            <w:pPr>
              <w:pStyle w:val="Default"/>
              <w:spacing w:line="276" w:lineRule="auto"/>
              <w:rPr>
                <w:rFonts w:asciiTheme="minorHAnsi" w:hAnsiTheme="minorHAnsi" w:cstheme="minorHAnsi"/>
              </w:rPr>
            </w:pPr>
            <w:r w:rsidRPr="00FA19A0">
              <w:rPr>
                <w:rFonts w:asciiTheme="minorHAnsi" w:hAnsiTheme="minorHAnsi" w:cstheme="minorHAnsi"/>
              </w:rPr>
              <w:t xml:space="preserve"> </w:t>
            </w:r>
          </w:p>
          <w:p w14:paraId="2461B519" w14:textId="1BA54370" w:rsidR="00CA6716" w:rsidRDefault="00CA6716" w:rsidP="00FA19A0">
            <w:pPr>
              <w:spacing w:after="0"/>
              <w:rPr>
                <w:sz w:val="20"/>
                <w:szCs w:val="20"/>
              </w:rPr>
            </w:pPr>
            <w:r w:rsidRPr="00FA19A0">
              <w:rPr>
                <w:rFonts w:cstheme="minorHAnsi"/>
                <w:sz w:val="24"/>
                <w:szCs w:val="24"/>
              </w:rPr>
              <w:t>Na potwierdzenie spełnienia kryterium konieczne jest przedstawienie porozumień/</w:t>
            </w:r>
            <w:r>
              <w:rPr>
                <w:rFonts w:cstheme="minorHAnsi"/>
                <w:sz w:val="24"/>
                <w:szCs w:val="24"/>
              </w:rPr>
              <w:t xml:space="preserve"> </w:t>
            </w:r>
            <w:r w:rsidRPr="00FA19A0">
              <w:rPr>
                <w:rFonts w:cstheme="minorHAnsi"/>
                <w:sz w:val="24"/>
                <w:szCs w:val="24"/>
              </w:rPr>
              <w:t>uchwał/decyzji lub innych równoważonych dokumentów regulujących współpracę pomiędzy gminami tworzącymi obszar funkcjonalny oraz powołujących zespół odpowiedzialny za przygotowanie oraz wdrożenie SUMP, wraz z podziałem kompetencji i</w:t>
            </w:r>
            <w:r w:rsidR="00A34B45">
              <w:rPr>
                <w:rFonts w:cstheme="minorHAnsi"/>
                <w:sz w:val="24"/>
                <w:szCs w:val="24"/>
              </w:rPr>
              <w:t> </w:t>
            </w:r>
            <w:r w:rsidRPr="00FA19A0">
              <w:rPr>
                <w:rFonts w:cstheme="minorHAnsi"/>
                <w:sz w:val="24"/>
                <w:szCs w:val="24"/>
              </w:rPr>
              <w:t>obowiązków. Przedstawione dokumenty powinny być ze sobą spójne w zakresie jednoznacznego wskazania odpowiedzialności powołanego zespołu, tj. za przygotowanie oraz wdrożenie SUMP.</w:t>
            </w:r>
            <w:r>
              <w:rPr>
                <w:sz w:val="20"/>
                <w:szCs w:val="20"/>
              </w:rPr>
              <w:t xml:space="preserve"> </w:t>
            </w:r>
          </w:p>
          <w:p w14:paraId="498096D4" w14:textId="17A42F7F" w:rsidR="00CA6716" w:rsidRPr="00924C40" w:rsidRDefault="00CA6716" w:rsidP="00924C40">
            <w:pPr>
              <w:spacing w:after="120"/>
              <w:rPr>
                <w:sz w:val="24"/>
                <w:szCs w:val="24"/>
              </w:rPr>
            </w:pPr>
            <w:r w:rsidRPr="00FA19A0">
              <w:rPr>
                <w:sz w:val="24"/>
                <w:szCs w:val="24"/>
              </w:rPr>
              <w:t>Punkty sumują się.</w:t>
            </w:r>
          </w:p>
          <w:p w14:paraId="791568C4" w14:textId="65272698" w:rsidR="00CA6716" w:rsidRPr="00A3574B" w:rsidRDefault="00CA6716" w:rsidP="00FA19A0">
            <w:pPr>
              <w:spacing w:after="0"/>
              <w:rPr>
                <w:rFonts w:ascii="Calibri" w:hAnsi="Calibri" w:cs="Calibri"/>
                <w:sz w:val="24"/>
                <w:szCs w:val="24"/>
              </w:rPr>
            </w:pPr>
            <w:r w:rsidRPr="0063670D">
              <w:rPr>
                <w:rFonts w:cs="Calibri"/>
                <w:sz w:val="24"/>
                <w:szCs w:val="24"/>
                <w:lang w:eastAsia="pl-PL"/>
              </w:rPr>
              <w:lastRenderedPageBreak/>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45611B58" w14:textId="738D325D" w:rsidR="00CA6716" w:rsidRPr="00A3574B" w:rsidRDefault="00CA6716" w:rsidP="0063670D">
            <w:pPr>
              <w:widowControl w:val="0"/>
              <w:spacing w:after="120"/>
              <w:jc w:val="center"/>
              <w:rPr>
                <w:rFonts w:cs="Calibri"/>
                <w:bCs/>
                <w:sz w:val="24"/>
                <w:szCs w:val="24"/>
                <w:lang w:eastAsia="pl-PL"/>
              </w:rPr>
            </w:pPr>
            <w:r w:rsidRPr="00A3574B">
              <w:rPr>
                <w:rFonts w:cs="Calibri"/>
                <w:bCs/>
                <w:sz w:val="24"/>
                <w:szCs w:val="24"/>
                <w:lang w:eastAsia="pl-PL"/>
              </w:rPr>
              <w:lastRenderedPageBreak/>
              <w:t>Kryterium premiujące</w:t>
            </w:r>
            <w:r>
              <w:rPr>
                <w:rFonts w:cs="Calibri"/>
                <w:bCs/>
                <w:sz w:val="24"/>
                <w:szCs w:val="24"/>
                <w:lang w:eastAsia="pl-PL"/>
              </w:rPr>
              <w:t xml:space="preserve"> rozstrzygające nr 1</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962C76D" w14:textId="021A4B46" w:rsidR="00CA6716" w:rsidRPr="00A3574B" w:rsidRDefault="00CA6716" w:rsidP="008B4F80">
            <w:pPr>
              <w:widowControl w:val="0"/>
              <w:spacing w:after="120"/>
              <w:jc w:val="center"/>
              <w:rPr>
                <w:rFonts w:cs="Calibri"/>
                <w:bCs/>
                <w:sz w:val="24"/>
                <w:szCs w:val="24"/>
                <w:lang w:eastAsia="pl-PL"/>
              </w:rPr>
            </w:pPr>
            <w:r>
              <w:rPr>
                <w:rFonts w:cs="Calibri"/>
                <w:bCs/>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D896CE1" w14:textId="5A2A464F" w:rsidR="00CA6716" w:rsidRPr="00A3574B" w:rsidRDefault="00CA6716" w:rsidP="008B4F80">
            <w:pPr>
              <w:widowControl w:val="0"/>
              <w:spacing w:after="120"/>
              <w:jc w:val="center"/>
              <w:rPr>
                <w:rFonts w:cs="Calibri"/>
                <w:bCs/>
                <w:sz w:val="24"/>
                <w:szCs w:val="24"/>
                <w:lang w:eastAsia="pl-PL"/>
              </w:rPr>
            </w:pPr>
            <w:r>
              <w:rPr>
                <w:rFonts w:cs="Calibri"/>
                <w:bCs/>
                <w:sz w:val="24"/>
                <w:szCs w:val="24"/>
                <w:lang w:eastAsia="pl-PL"/>
              </w:rPr>
              <w:t>0-6 pkt</w:t>
            </w:r>
          </w:p>
        </w:tc>
      </w:tr>
      <w:tr w:rsidR="00CA6716" w14:paraId="117EA07E" w14:textId="66EC19B2" w:rsidTr="00CA6716">
        <w:trPr>
          <w:trHeight w:val="644"/>
        </w:trPr>
        <w:tc>
          <w:tcPr>
            <w:tcW w:w="567" w:type="dxa"/>
            <w:tcBorders>
              <w:top w:val="single" w:sz="4" w:space="0" w:color="92D050"/>
              <w:left w:val="single" w:sz="4" w:space="0" w:color="92D050"/>
              <w:bottom w:val="single" w:sz="4" w:space="0" w:color="92D050"/>
              <w:right w:val="single" w:sz="4" w:space="0" w:color="92D050"/>
            </w:tcBorders>
            <w:vAlign w:val="center"/>
          </w:tcPr>
          <w:p w14:paraId="1C215C0E" w14:textId="4E0772EF" w:rsidR="00CA6716" w:rsidRPr="00A3574B" w:rsidRDefault="00CA6716" w:rsidP="008B4F80">
            <w:pPr>
              <w:widowControl w:val="0"/>
              <w:spacing w:after="120"/>
              <w:rPr>
                <w:rFonts w:cs="Calibri"/>
                <w:sz w:val="24"/>
                <w:szCs w:val="24"/>
              </w:rPr>
            </w:pPr>
            <w:r>
              <w:rPr>
                <w:rFonts w:cs="Calibri"/>
                <w:sz w:val="24"/>
                <w:szCs w:val="24"/>
              </w:rPr>
              <w:t>2.</w:t>
            </w:r>
          </w:p>
        </w:tc>
        <w:tc>
          <w:tcPr>
            <w:tcW w:w="1988" w:type="dxa"/>
            <w:tcBorders>
              <w:top w:val="single" w:sz="4" w:space="0" w:color="92D050"/>
              <w:left w:val="single" w:sz="4" w:space="0" w:color="92D050"/>
              <w:bottom w:val="single" w:sz="4" w:space="0" w:color="92D050"/>
              <w:right w:val="single" w:sz="4" w:space="0" w:color="92D050"/>
            </w:tcBorders>
            <w:vAlign w:val="center"/>
          </w:tcPr>
          <w:p w14:paraId="46D55196" w14:textId="7FB19136" w:rsidR="00CA6716" w:rsidRPr="00A3574B" w:rsidRDefault="00CA6716" w:rsidP="008B4F80">
            <w:pPr>
              <w:widowControl w:val="0"/>
              <w:spacing w:after="120"/>
              <w:rPr>
                <w:rFonts w:ascii="Calibri" w:hAnsi="Calibri" w:cs="Calibri"/>
                <w:bCs/>
                <w:sz w:val="24"/>
                <w:szCs w:val="24"/>
              </w:rPr>
            </w:pPr>
            <w:r>
              <w:rPr>
                <w:rFonts w:ascii="Calibri" w:hAnsi="Calibri" w:cs="Calibri"/>
                <w:bCs/>
                <w:sz w:val="24"/>
                <w:szCs w:val="24"/>
              </w:rPr>
              <w:t>Przygotowany raport z zakresu prac nad SUMP (tzw. „scoping report”)</w:t>
            </w:r>
          </w:p>
        </w:tc>
        <w:tc>
          <w:tcPr>
            <w:tcW w:w="9070" w:type="dxa"/>
            <w:tcBorders>
              <w:top w:val="single" w:sz="4" w:space="0" w:color="92D050"/>
              <w:left w:val="single" w:sz="4" w:space="0" w:color="92D050"/>
              <w:bottom w:val="single" w:sz="4" w:space="0" w:color="92D050"/>
              <w:right w:val="single" w:sz="4" w:space="0" w:color="92D050"/>
            </w:tcBorders>
            <w:vAlign w:val="center"/>
          </w:tcPr>
          <w:p w14:paraId="3BB3899F" w14:textId="77777777" w:rsidR="00CA6716" w:rsidRPr="00FA19A0" w:rsidRDefault="00CA6716" w:rsidP="00FA19A0">
            <w:pPr>
              <w:pStyle w:val="Default"/>
              <w:spacing w:line="276" w:lineRule="auto"/>
              <w:rPr>
                <w:rFonts w:asciiTheme="minorHAnsi" w:hAnsiTheme="minorHAnsi" w:cstheme="minorHAnsi"/>
              </w:rPr>
            </w:pPr>
            <w:r w:rsidRPr="00FA19A0">
              <w:rPr>
                <w:rFonts w:asciiTheme="minorHAnsi" w:hAnsiTheme="minorHAnsi" w:cstheme="minorHAnsi"/>
              </w:rPr>
              <w:t xml:space="preserve">Ocenie podlegać będzie opis stopnia zaawansowania prac związanych z przygotowaniem Wnioskodawcy do opracowania SUMP. </w:t>
            </w:r>
          </w:p>
          <w:p w14:paraId="0B8530CD" w14:textId="3BB2B721" w:rsidR="00CA6716" w:rsidRPr="00FA19A0" w:rsidRDefault="00CA6716" w:rsidP="00FA19A0">
            <w:pPr>
              <w:spacing w:after="0"/>
              <w:rPr>
                <w:rFonts w:cstheme="minorHAnsi"/>
                <w:sz w:val="24"/>
                <w:szCs w:val="24"/>
              </w:rPr>
            </w:pPr>
            <w:r w:rsidRPr="00FA19A0">
              <w:rPr>
                <w:rFonts w:cstheme="minorHAnsi"/>
                <w:sz w:val="24"/>
                <w:szCs w:val="24"/>
              </w:rPr>
              <w:t>1 pkt – dokonano przeglądu istniejących dokumentów strategicznych (np. dotyczących transportu, planowania przestrzennego, mobilności, gospodarki niskoemisyjnej, ochrony środowiska), istotnych dla przygotowania SUMP na poziomie regionalnym oraz omówiono wyniki przeprowadzonej samooceny, np. według Poradnika opracowania SUMP Civitas Prosperity lub narzędzia samooceny dostępnego pod adresem https://www.sump-assessment.eu/start</w:t>
            </w:r>
            <w:r>
              <w:rPr>
                <w:rFonts w:cstheme="minorHAnsi"/>
                <w:sz w:val="24"/>
                <w:szCs w:val="24"/>
              </w:rPr>
              <w:t>;</w:t>
            </w:r>
            <w:r w:rsidRPr="00FA19A0">
              <w:rPr>
                <w:rFonts w:cstheme="minorHAnsi"/>
                <w:sz w:val="24"/>
                <w:szCs w:val="24"/>
              </w:rPr>
              <w:t xml:space="preserve"> </w:t>
            </w:r>
          </w:p>
          <w:p w14:paraId="0FADCDCA" w14:textId="6BAE21A7" w:rsidR="00CA6716" w:rsidRPr="00A61D21" w:rsidRDefault="00CA6716" w:rsidP="00A61D21">
            <w:pPr>
              <w:pStyle w:val="Default"/>
              <w:spacing w:line="276" w:lineRule="auto"/>
              <w:rPr>
                <w:rFonts w:asciiTheme="minorHAnsi" w:hAnsiTheme="minorHAnsi" w:cstheme="minorHAnsi"/>
              </w:rPr>
            </w:pPr>
            <w:r w:rsidRPr="00A61D21">
              <w:rPr>
                <w:rFonts w:asciiTheme="minorHAnsi" w:hAnsiTheme="minorHAnsi" w:cstheme="minorHAnsi"/>
              </w:rPr>
              <w:t>2</w:t>
            </w:r>
            <w:r w:rsidRPr="00FA19A0">
              <w:rPr>
                <w:rFonts w:asciiTheme="minorHAnsi" w:hAnsiTheme="minorHAnsi" w:cstheme="minorHAnsi"/>
              </w:rPr>
              <w:t xml:space="preserve"> pkt</w:t>
            </w:r>
            <w:r w:rsidRPr="00A61D21">
              <w:rPr>
                <w:rFonts w:asciiTheme="minorHAnsi" w:hAnsiTheme="minorHAnsi" w:cstheme="minorHAnsi"/>
              </w:rPr>
              <w:t xml:space="preserve"> – dokonano identyfikacji interesariuszy</w:t>
            </w:r>
            <w:r w:rsidRPr="00FA19A0">
              <w:rPr>
                <w:rFonts w:asciiTheme="minorHAnsi" w:hAnsiTheme="minorHAnsi" w:cstheme="minorHAnsi"/>
              </w:rPr>
              <w:t>;</w:t>
            </w:r>
          </w:p>
          <w:p w14:paraId="19BC8365" w14:textId="124E05D2" w:rsidR="00CA6716" w:rsidRPr="00A61D21" w:rsidRDefault="00CA6716" w:rsidP="00A61D21">
            <w:pPr>
              <w:pStyle w:val="Default"/>
              <w:spacing w:line="276" w:lineRule="auto"/>
              <w:rPr>
                <w:rFonts w:asciiTheme="minorHAnsi" w:hAnsiTheme="minorHAnsi" w:cstheme="minorHAnsi"/>
              </w:rPr>
            </w:pPr>
            <w:r w:rsidRPr="00A61D21">
              <w:rPr>
                <w:rFonts w:asciiTheme="minorHAnsi" w:hAnsiTheme="minorHAnsi" w:cstheme="minorHAnsi"/>
              </w:rPr>
              <w:t>1 pkt – dokonano identyfikacji potrzeb grup wykluczonych</w:t>
            </w:r>
            <w:r>
              <w:rPr>
                <w:rFonts w:asciiTheme="minorHAnsi" w:hAnsiTheme="minorHAnsi" w:cstheme="minorHAnsi"/>
              </w:rPr>
              <w:t>;</w:t>
            </w:r>
            <w:r w:rsidRPr="00A61D21">
              <w:rPr>
                <w:rFonts w:asciiTheme="minorHAnsi" w:hAnsiTheme="minorHAnsi" w:cstheme="minorHAnsi"/>
              </w:rPr>
              <w:t xml:space="preserve"> </w:t>
            </w:r>
          </w:p>
          <w:p w14:paraId="70097854" w14:textId="7ACA5343" w:rsidR="00CA6716" w:rsidRPr="00A61D21" w:rsidRDefault="00CA6716" w:rsidP="00A61D21">
            <w:pPr>
              <w:pStyle w:val="Default"/>
              <w:spacing w:line="276" w:lineRule="auto"/>
              <w:rPr>
                <w:rFonts w:asciiTheme="minorHAnsi" w:hAnsiTheme="minorHAnsi" w:cstheme="minorHAnsi"/>
              </w:rPr>
            </w:pPr>
            <w:r w:rsidRPr="00A61D21">
              <w:rPr>
                <w:rFonts w:asciiTheme="minorHAnsi" w:hAnsiTheme="minorHAnsi" w:cstheme="minorHAnsi"/>
              </w:rPr>
              <w:t>1 pkt – uzgodniono harmonogram działań dotyczących przygotowania i przyjmowania SUMP</w:t>
            </w:r>
            <w:r>
              <w:rPr>
                <w:rFonts w:asciiTheme="minorHAnsi" w:hAnsiTheme="minorHAnsi" w:cstheme="minorHAnsi"/>
              </w:rPr>
              <w:t xml:space="preserve"> </w:t>
            </w:r>
            <w:r w:rsidRPr="00A61D21">
              <w:rPr>
                <w:rFonts w:asciiTheme="minorHAnsi" w:hAnsiTheme="minorHAnsi" w:cstheme="minorHAnsi"/>
              </w:rPr>
              <w:t>z uwzględnieniem potencjalnej konieczności przeprowadzenia strategicznej oceny oddziaływania na środowisko</w:t>
            </w:r>
            <w:r>
              <w:rPr>
                <w:rFonts w:asciiTheme="minorHAnsi" w:hAnsiTheme="minorHAnsi" w:cstheme="minorHAnsi"/>
              </w:rPr>
              <w:t>;</w:t>
            </w:r>
            <w:r w:rsidRPr="00A61D21">
              <w:rPr>
                <w:rFonts w:asciiTheme="minorHAnsi" w:hAnsiTheme="minorHAnsi" w:cstheme="minorHAnsi"/>
              </w:rPr>
              <w:t xml:space="preserve"> </w:t>
            </w:r>
          </w:p>
          <w:p w14:paraId="365A2906" w14:textId="3C02F164" w:rsidR="00CA6716" w:rsidRPr="00A61D21" w:rsidRDefault="00CA6716" w:rsidP="00A61D21">
            <w:pPr>
              <w:pStyle w:val="Default"/>
              <w:spacing w:line="276" w:lineRule="auto"/>
              <w:rPr>
                <w:rFonts w:asciiTheme="minorHAnsi" w:hAnsiTheme="minorHAnsi" w:cstheme="minorHAnsi"/>
              </w:rPr>
            </w:pPr>
            <w:r w:rsidRPr="00FA19A0">
              <w:rPr>
                <w:rFonts w:asciiTheme="minorHAnsi" w:hAnsiTheme="minorHAnsi" w:cstheme="minorHAnsi"/>
              </w:rPr>
              <w:t>2 pkt</w:t>
            </w:r>
            <w:r w:rsidRPr="00A61D21">
              <w:rPr>
                <w:rFonts w:asciiTheme="minorHAnsi" w:hAnsiTheme="minorHAnsi" w:cstheme="minorHAnsi"/>
              </w:rPr>
              <w:t xml:space="preserve"> – przeprowadzono diagnozę głównych problemów związanych z transportem publicznym, rowerowym, pieszym, samochodowym</w:t>
            </w:r>
            <w:r>
              <w:rPr>
                <w:rFonts w:asciiTheme="minorHAnsi" w:hAnsiTheme="minorHAnsi" w:cstheme="minorHAnsi"/>
              </w:rPr>
              <w:t>;</w:t>
            </w:r>
            <w:r w:rsidRPr="00A61D21">
              <w:rPr>
                <w:rFonts w:asciiTheme="minorHAnsi" w:hAnsiTheme="minorHAnsi" w:cstheme="minorHAnsi"/>
              </w:rPr>
              <w:t xml:space="preserve"> </w:t>
            </w:r>
          </w:p>
          <w:p w14:paraId="3BE4A46B" w14:textId="57F36005" w:rsidR="00CA6716" w:rsidRPr="00A61D21" w:rsidRDefault="00CA6716" w:rsidP="00A61D21">
            <w:pPr>
              <w:pStyle w:val="Default"/>
              <w:spacing w:line="276" w:lineRule="auto"/>
              <w:rPr>
                <w:rFonts w:asciiTheme="minorHAnsi" w:hAnsiTheme="minorHAnsi" w:cstheme="minorHAnsi"/>
              </w:rPr>
            </w:pPr>
            <w:r w:rsidRPr="00A61D21">
              <w:rPr>
                <w:rFonts w:asciiTheme="minorHAnsi" w:hAnsiTheme="minorHAnsi" w:cstheme="minorHAnsi"/>
              </w:rPr>
              <w:t>1 pkt – przeprowadzono diagnozę w zakresie logistyki miejskiej</w:t>
            </w:r>
            <w:r>
              <w:rPr>
                <w:rFonts w:asciiTheme="minorHAnsi" w:hAnsiTheme="minorHAnsi" w:cstheme="minorHAnsi"/>
              </w:rPr>
              <w:t>;</w:t>
            </w:r>
            <w:r w:rsidRPr="00A61D21">
              <w:rPr>
                <w:rFonts w:asciiTheme="minorHAnsi" w:hAnsiTheme="minorHAnsi" w:cstheme="minorHAnsi"/>
              </w:rPr>
              <w:t xml:space="preserve"> </w:t>
            </w:r>
          </w:p>
          <w:p w14:paraId="4D848386" w14:textId="2EB77FBA" w:rsidR="00CA6716" w:rsidRPr="00A61D21" w:rsidRDefault="00CA6716" w:rsidP="00A61D21">
            <w:pPr>
              <w:pStyle w:val="Default"/>
              <w:spacing w:line="276" w:lineRule="auto"/>
              <w:rPr>
                <w:rFonts w:asciiTheme="minorHAnsi" w:hAnsiTheme="minorHAnsi" w:cstheme="minorHAnsi"/>
              </w:rPr>
            </w:pPr>
            <w:r w:rsidRPr="00A61D21">
              <w:rPr>
                <w:rFonts w:asciiTheme="minorHAnsi" w:hAnsiTheme="minorHAnsi" w:cstheme="minorHAnsi"/>
              </w:rPr>
              <w:t>1 pkt – ustalono priorytety dla zidentyfikowanych problemów</w:t>
            </w:r>
            <w:r>
              <w:rPr>
                <w:rFonts w:asciiTheme="minorHAnsi" w:hAnsiTheme="minorHAnsi" w:cstheme="minorHAnsi"/>
              </w:rPr>
              <w:t>;</w:t>
            </w:r>
            <w:r w:rsidRPr="00A61D21">
              <w:rPr>
                <w:rFonts w:asciiTheme="minorHAnsi" w:hAnsiTheme="minorHAnsi" w:cstheme="minorHAnsi"/>
              </w:rPr>
              <w:t xml:space="preserve"> </w:t>
            </w:r>
          </w:p>
          <w:p w14:paraId="2A007E6B" w14:textId="6C38116D" w:rsidR="00CA6716" w:rsidRDefault="00CA6716" w:rsidP="00BC1C11">
            <w:pPr>
              <w:spacing w:after="120"/>
              <w:rPr>
                <w:rFonts w:cstheme="minorHAnsi"/>
                <w:sz w:val="24"/>
                <w:szCs w:val="24"/>
              </w:rPr>
            </w:pPr>
            <w:r w:rsidRPr="00A61D21">
              <w:rPr>
                <w:rFonts w:cstheme="minorHAnsi"/>
                <w:sz w:val="24"/>
                <w:szCs w:val="24"/>
              </w:rPr>
              <w:lastRenderedPageBreak/>
              <w:t>1 pkt – wskazano obecną strukturę modalną transportu (proporcji, w jakich wykorzystywane są różne rodzaje transportu) dla transportu publicznego, pojazdów prywatnych i aktywnej mobilności (ruch pieszy i rowerowy)</w:t>
            </w:r>
            <w:r>
              <w:rPr>
                <w:rFonts w:cstheme="minorHAnsi"/>
                <w:sz w:val="24"/>
                <w:szCs w:val="24"/>
              </w:rPr>
              <w:t>.</w:t>
            </w:r>
            <w:r w:rsidRPr="00A61D21">
              <w:rPr>
                <w:rFonts w:cstheme="minorHAnsi"/>
                <w:sz w:val="24"/>
                <w:szCs w:val="24"/>
              </w:rPr>
              <w:t xml:space="preserve"> </w:t>
            </w:r>
          </w:p>
          <w:p w14:paraId="77F55DBD" w14:textId="670D9F9B" w:rsidR="00CA6716" w:rsidRDefault="00CA6716" w:rsidP="00924C40">
            <w:pPr>
              <w:spacing w:after="120"/>
              <w:rPr>
                <w:rFonts w:cstheme="minorHAnsi"/>
                <w:sz w:val="24"/>
                <w:szCs w:val="24"/>
              </w:rPr>
            </w:pPr>
            <w:r>
              <w:rPr>
                <w:rFonts w:cstheme="minorHAnsi"/>
                <w:sz w:val="24"/>
                <w:szCs w:val="24"/>
              </w:rPr>
              <w:t>Punkty sumują się.</w:t>
            </w:r>
          </w:p>
          <w:p w14:paraId="00A7D2CB" w14:textId="1B1A20F6" w:rsidR="00CA6716" w:rsidRPr="00A3574B" w:rsidRDefault="00CA6716" w:rsidP="00A61D21">
            <w:pPr>
              <w:spacing w:after="0"/>
              <w:rPr>
                <w:rFonts w:ascii="Calibri" w:hAnsi="Calibri" w:cs="Calibri"/>
                <w:sz w:val="24"/>
                <w:szCs w:val="24"/>
              </w:rPr>
            </w:pPr>
            <w:r w:rsidRPr="0063670D">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414E6D6B" w14:textId="0873C34D" w:rsidR="00CA6716" w:rsidRPr="00A3574B" w:rsidRDefault="00CA6716" w:rsidP="0063670D">
            <w:pPr>
              <w:widowControl w:val="0"/>
              <w:spacing w:after="120"/>
              <w:jc w:val="center"/>
              <w:rPr>
                <w:rFonts w:cs="Calibri"/>
                <w:bCs/>
                <w:sz w:val="24"/>
                <w:szCs w:val="24"/>
                <w:lang w:eastAsia="pl-PL"/>
              </w:rPr>
            </w:pPr>
            <w:r w:rsidRPr="00A3574B">
              <w:rPr>
                <w:rFonts w:cs="Calibri"/>
                <w:bCs/>
                <w:sz w:val="24"/>
                <w:szCs w:val="24"/>
                <w:lang w:eastAsia="pl-PL"/>
              </w:rPr>
              <w:lastRenderedPageBreak/>
              <w:t>Kryterium premiujące</w:t>
            </w:r>
            <w:r>
              <w:rPr>
                <w:rFonts w:cs="Calibri"/>
                <w:bCs/>
                <w:sz w:val="24"/>
                <w:szCs w:val="24"/>
                <w:lang w:eastAsia="pl-PL"/>
              </w:rPr>
              <w:t xml:space="preserve"> rozstrzygające nr 2</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8C87A22" w14:textId="45C66078" w:rsidR="00CA6716" w:rsidRPr="00A3574B" w:rsidRDefault="00CA6716" w:rsidP="008B4F80">
            <w:pPr>
              <w:widowControl w:val="0"/>
              <w:spacing w:after="120"/>
              <w:jc w:val="center"/>
              <w:rPr>
                <w:rFonts w:cs="Calibri"/>
                <w:bCs/>
                <w:sz w:val="24"/>
                <w:szCs w:val="24"/>
                <w:lang w:eastAsia="pl-PL"/>
              </w:rPr>
            </w:pPr>
            <w:r>
              <w:rPr>
                <w:rFonts w:cs="Calibri"/>
                <w:bCs/>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E0274F8" w14:textId="7BF805ED" w:rsidR="00CA6716" w:rsidRPr="00A3574B" w:rsidRDefault="00CA6716" w:rsidP="008B4F80">
            <w:pPr>
              <w:widowControl w:val="0"/>
              <w:spacing w:after="120"/>
              <w:jc w:val="center"/>
              <w:rPr>
                <w:rFonts w:cs="Calibri"/>
                <w:bCs/>
                <w:sz w:val="24"/>
                <w:szCs w:val="24"/>
                <w:lang w:eastAsia="pl-PL"/>
              </w:rPr>
            </w:pPr>
            <w:r>
              <w:rPr>
                <w:rFonts w:cs="Calibri"/>
                <w:bCs/>
                <w:sz w:val="24"/>
                <w:szCs w:val="24"/>
                <w:lang w:eastAsia="pl-PL"/>
              </w:rPr>
              <w:t>0-10 pkt</w:t>
            </w:r>
          </w:p>
        </w:tc>
      </w:tr>
      <w:tr w:rsidR="00CA6716" w14:paraId="29111A5F" w14:textId="1F39873D" w:rsidTr="00CA6716">
        <w:trPr>
          <w:trHeight w:val="644"/>
        </w:trPr>
        <w:tc>
          <w:tcPr>
            <w:tcW w:w="567" w:type="dxa"/>
            <w:tcBorders>
              <w:top w:val="single" w:sz="4" w:space="0" w:color="92D050"/>
              <w:left w:val="single" w:sz="4" w:space="0" w:color="92D050"/>
              <w:bottom w:val="single" w:sz="4" w:space="0" w:color="92D050"/>
              <w:right w:val="single" w:sz="4" w:space="0" w:color="92D050"/>
            </w:tcBorders>
            <w:vAlign w:val="center"/>
          </w:tcPr>
          <w:p w14:paraId="731C8F43" w14:textId="1D0B14E6" w:rsidR="00CA6716" w:rsidRPr="00A3574B" w:rsidRDefault="00CA6716" w:rsidP="007F5DEE">
            <w:pPr>
              <w:widowControl w:val="0"/>
              <w:spacing w:after="120"/>
              <w:rPr>
                <w:rFonts w:cs="Calibri"/>
                <w:sz w:val="24"/>
                <w:szCs w:val="24"/>
              </w:rPr>
            </w:pPr>
            <w:r>
              <w:rPr>
                <w:rFonts w:cs="Calibri"/>
                <w:sz w:val="24"/>
                <w:szCs w:val="24"/>
              </w:rPr>
              <w:t xml:space="preserve">3. </w:t>
            </w:r>
          </w:p>
        </w:tc>
        <w:tc>
          <w:tcPr>
            <w:tcW w:w="1988" w:type="dxa"/>
            <w:tcBorders>
              <w:top w:val="single" w:sz="4" w:space="0" w:color="92D050"/>
              <w:left w:val="single" w:sz="4" w:space="0" w:color="92D050"/>
              <w:bottom w:val="single" w:sz="4" w:space="0" w:color="92D050"/>
              <w:right w:val="single" w:sz="4" w:space="0" w:color="92D050"/>
            </w:tcBorders>
            <w:vAlign w:val="center"/>
          </w:tcPr>
          <w:p w14:paraId="29B0FAEC" w14:textId="4D2D771F" w:rsidR="00CA6716" w:rsidRPr="00822661" w:rsidRDefault="00CA6716" w:rsidP="008B4F80">
            <w:pPr>
              <w:widowControl w:val="0"/>
              <w:spacing w:after="120"/>
              <w:rPr>
                <w:rFonts w:ascii="Calibri" w:hAnsi="Calibri" w:cs="Calibri"/>
                <w:bCs/>
                <w:sz w:val="24"/>
                <w:szCs w:val="24"/>
              </w:rPr>
            </w:pPr>
            <w:r w:rsidRPr="00822661">
              <w:rPr>
                <w:rFonts w:cs="Calibri"/>
                <w:sz w:val="24"/>
                <w:szCs w:val="24"/>
              </w:rPr>
              <w:t>Zaplanowany udział interesariuszy oraz obywateli</w:t>
            </w:r>
          </w:p>
        </w:tc>
        <w:tc>
          <w:tcPr>
            <w:tcW w:w="9070" w:type="dxa"/>
            <w:tcBorders>
              <w:top w:val="single" w:sz="4" w:space="0" w:color="92D050"/>
              <w:left w:val="single" w:sz="4" w:space="0" w:color="92D050"/>
              <w:bottom w:val="single" w:sz="4" w:space="0" w:color="92D050"/>
              <w:right w:val="single" w:sz="4" w:space="0" w:color="92D050"/>
            </w:tcBorders>
            <w:vAlign w:val="center"/>
          </w:tcPr>
          <w:p w14:paraId="1AE4EB17" w14:textId="77777777" w:rsidR="00CA6716" w:rsidRPr="00822661" w:rsidRDefault="00CA6716" w:rsidP="0061306E">
            <w:pPr>
              <w:pStyle w:val="Default"/>
              <w:spacing w:line="276" w:lineRule="auto"/>
              <w:rPr>
                <w:rFonts w:asciiTheme="minorHAnsi" w:hAnsiTheme="minorHAnsi" w:cstheme="minorHAnsi"/>
              </w:rPr>
            </w:pPr>
            <w:r w:rsidRPr="00822661">
              <w:rPr>
                <w:rFonts w:asciiTheme="minorHAnsi" w:hAnsiTheme="minorHAnsi" w:cstheme="minorHAnsi"/>
              </w:rPr>
              <w:t>Ocenie podlegać będzie planowany stopień włączenia zidentyfikowanych interesariuszy</w:t>
            </w:r>
            <w:r w:rsidRPr="00822661">
              <w:rPr>
                <w:rFonts w:asciiTheme="minorHAnsi" w:hAnsiTheme="minorHAnsi" w:cstheme="minorHAnsi"/>
                <w:vertAlign w:val="superscript"/>
              </w:rPr>
              <w:t>1</w:t>
            </w:r>
            <w:r w:rsidRPr="00822661">
              <w:rPr>
                <w:rFonts w:asciiTheme="minorHAnsi" w:hAnsiTheme="minorHAnsi" w:cstheme="minorHAnsi"/>
              </w:rPr>
              <w:t xml:space="preserve"> oraz obywateli</w:t>
            </w:r>
            <w:r w:rsidRPr="00822661">
              <w:rPr>
                <w:rFonts w:asciiTheme="minorHAnsi" w:hAnsiTheme="minorHAnsi" w:cstheme="minorHAnsi"/>
                <w:vertAlign w:val="superscript"/>
              </w:rPr>
              <w:t>2</w:t>
            </w:r>
            <w:r w:rsidRPr="00822661">
              <w:rPr>
                <w:rFonts w:asciiTheme="minorHAnsi" w:hAnsiTheme="minorHAnsi" w:cstheme="minorHAnsi"/>
              </w:rPr>
              <w:t xml:space="preserve"> w proces przygotowania SUMP. </w:t>
            </w:r>
          </w:p>
          <w:p w14:paraId="5B1BA280" w14:textId="63EB2EDE" w:rsidR="00CA6716" w:rsidRPr="00822661" w:rsidRDefault="00CA6716" w:rsidP="0061306E">
            <w:pPr>
              <w:pStyle w:val="Default"/>
              <w:spacing w:line="276" w:lineRule="auto"/>
              <w:rPr>
                <w:rFonts w:asciiTheme="minorHAnsi" w:hAnsiTheme="minorHAnsi" w:cstheme="minorHAnsi"/>
              </w:rPr>
            </w:pPr>
            <w:r w:rsidRPr="00822661">
              <w:rPr>
                <w:rFonts w:asciiTheme="minorHAnsi" w:hAnsiTheme="minorHAnsi" w:cstheme="minorHAnsi"/>
              </w:rPr>
              <w:t xml:space="preserve">1 pkt – wskazano etapy, na których angażowani będą zidentyfikowani interesariusze oraz obywatele; </w:t>
            </w:r>
          </w:p>
          <w:p w14:paraId="1B2D7E53" w14:textId="4DC0EB2B" w:rsidR="00CA6716" w:rsidRPr="00822661" w:rsidRDefault="00CA6716" w:rsidP="0061306E">
            <w:pPr>
              <w:spacing w:after="0"/>
              <w:rPr>
                <w:rFonts w:cstheme="minorHAnsi"/>
                <w:sz w:val="24"/>
                <w:szCs w:val="24"/>
              </w:rPr>
            </w:pPr>
            <w:r w:rsidRPr="00822661">
              <w:rPr>
                <w:rFonts w:cstheme="minorHAnsi"/>
                <w:sz w:val="24"/>
                <w:szCs w:val="24"/>
              </w:rPr>
              <w:t>1 pkt – wskazano metody badawcze, niezbędne do opracowania SUMP</w:t>
            </w:r>
            <w:r w:rsidRPr="00822661">
              <w:rPr>
                <w:rFonts w:cstheme="minorHAnsi"/>
                <w:sz w:val="24"/>
                <w:szCs w:val="24"/>
                <w:vertAlign w:val="superscript"/>
              </w:rPr>
              <w:t>3</w:t>
            </w:r>
            <w:r w:rsidRPr="00822661">
              <w:rPr>
                <w:rFonts w:cstheme="minorHAnsi"/>
                <w:sz w:val="24"/>
                <w:szCs w:val="24"/>
              </w:rPr>
              <w:t xml:space="preserve">;  </w:t>
            </w:r>
          </w:p>
          <w:p w14:paraId="0B1587B0" w14:textId="20C7657B" w:rsidR="00CA6716" w:rsidRPr="00822661" w:rsidRDefault="00CA6716" w:rsidP="0061306E">
            <w:pPr>
              <w:pStyle w:val="Default"/>
              <w:spacing w:line="276" w:lineRule="auto"/>
              <w:rPr>
                <w:rFonts w:asciiTheme="minorHAnsi" w:hAnsiTheme="minorHAnsi" w:cstheme="minorHAnsi"/>
              </w:rPr>
            </w:pPr>
            <w:r w:rsidRPr="00822661">
              <w:rPr>
                <w:rFonts w:asciiTheme="minorHAnsi" w:hAnsiTheme="minorHAnsi" w:cstheme="minorHAnsi"/>
              </w:rPr>
              <w:t xml:space="preserve">1 pkt – rozpoczęto konsultacje z interesariuszami lub społeczeństwem; </w:t>
            </w:r>
          </w:p>
          <w:p w14:paraId="7C8AF9DC" w14:textId="04BE4950" w:rsidR="00CA6716" w:rsidRPr="00822661" w:rsidRDefault="00CA6716" w:rsidP="00BC1C11">
            <w:pPr>
              <w:spacing w:after="120"/>
              <w:rPr>
                <w:rFonts w:cstheme="minorHAnsi"/>
                <w:sz w:val="24"/>
                <w:szCs w:val="24"/>
              </w:rPr>
            </w:pPr>
            <w:r w:rsidRPr="00822661">
              <w:rPr>
                <w:rFonts w:cstheme="minorHAnsi"/>
                <w:sz w:val="24"/>
                <w:szCs w:val="24"/>
              </w:rPr>
              <w:t xml:space="preserve">1 pkt – rozpoczęto minimum jedno z badań jakościowych. </w:t>
            </w:r>
          </w:p>
          <w:p w14:paraId="33BB743E" w14:textId="08F060CB" w:rsidR="00CA6716" w:rsidRPr="00822661" w:rsidRDefault="00CA6716" w:rsidP="00BC1C11">
            <w:pPr>
              <w:spacing w:after="120"/>
              <w:rPr>
                <w:rFonts w:cstheme="minorHAnsi"/>
                <w:sz w:val="24"/>
                <w:szCs w:val="24"/>
              </w:rPr>
            </w:pPr>
            <w:r>
              <w:rPr>
                <w:rFonts w:cstheme="minorHAnsi"/>
                <w:sz w:val="24"/>
                <w:szCs w:val="24"/>
              </w:rPr>
              <w:t>Punkty sumują się.</w:t>
            </w:r>
          </w:p>
          <w:p w14:paraId="31DBD565" w14:textId="77777777" w:rsidR="00CA6716" w:rsidRPr="00822661" w:rsidRDefault="00CA6716" w:rsidP="0061306E">
            <w:pPr>
              <w:spacing w:after="0"/>
              <w:rPr>
                <w:sz w:val="24"/>
                <w:szCs w:val="24"/>
              </w:rPr>
            </w:pPr>
            <w:r w:rsidRPr="00822661">
              <w:rPr>
                <w:rFonts w:cstheme="minorHAnsi"/>
                <w:sz w:val="24"/>
                <w:szCs w:val="24"/>
                <w:vertAlign w:val="superscript"/>
              </w:rPr>
              <w:t>1</w:t>
            </w:r>
            <w:r w:rsidRPr="00822661">
              <w:rPr>
                <w:rFonts w:cstheme="minorHAnsi"/>
                <w:sz w:val="24"/>
                <w:szCs w:val="24"/>
              </w:rPr>
              <w:t xml:space="preserve"> </w:t>
            </w:r>
            <w:r w:rsidRPr="00822661">
              <w:rPr>
                <w:sz w:val="24"/>
                <w:szCs w:val="24"/>
              </w:rPr>
              <w:t xml:space="preserve">Interesariusze to wszystkie podmioty, grupy lub organizacje, na które SUMP ma i/lub może mieć wpływ. </w:t>
            </w:r>
          </w:p>
          <w:p w14:paraId="1CCFA564" w14:textId="57801A96" w:rsidR="00CA6716" w:rsidRPr="00822661" w:rsidRDefault="00CA6716" w:rsidP="00BC1C11">
            <w:pPr>
              <w:spacing w:after="120"/>
              <w:rPr>
                <w:rFonts w:cstheme="minorHAnsi"/>
                <w:sz w:val="24"/>
                <w:szCs w:val="24"/>
              </w:rPr>
            </w:pPr>
            <w:r w:rsidRPr="00822661">
              <w:rPr>
                <w:sz w:val="24"/>
                <w:szCs w:val="24"/>
                <w:vertAlign w:val="superscript"/>
              </w:rPr>
              <w:t xml:space="preserve">2 </w:t>
            </w:r>
            <w:r w:rsidRPr="00822661">
              <w:rPr>
                <w:sz w:val="24"/>
                <w:szCs w:val="24"/>
              </w:rPr>
              <w:t>Obywatele to wszystkie osoby mieszkające i/lub pracujące w miejskim obszarze funkcjonalnym, dla którego przygotowywany jest SUMP. Termin używany zamiennie z</w:t>
            </w:r>
            <w:r w:rsidR="00A34B45">
              <w:rPr>
                <w:sz w:val="24"/>
                <w:szCs w:val="24"/>
              </w:rPr>
              <w:t> </w:t>
            </w:r>
            <w:r w:rsidRPr="00822661">
              <w:rPr>
                <w:sz w:val="24"/>
                <w:szCs w:val="24"/>
              </w:rPr>
              <w:t xml:space="preserve">określeniem „społeczeństwo”, „mieszkańcy”, „ludzie”.  </w:t>
            </w:r>
          </w:p>
          <w:p w14:paraId="1DFC96EF" w14:textId="4D14E7A3" w:rsidR="00CA6716" w:rsidRPr="00822661" w:rsidRDefault="00CA6716" w:rsidP="00924C40">
            <w:pPr>
              <w:spacing w:after="120"/>
              <w:rPr>
                <w:sz w:val="24"/>
                <w:szCs w:val="24"/>
              </w:rPr>
            </w:pPr>
            <w:r w:rsidRPr="00822661">
              <w:rPr>
                <w:rFonts w:cstheme="minorHAnsi"/>
                <w:sz w:val="24"/>
                <w:szCs w:val="24"/>
                <w:vertAlign w:val="superscript"/>
              </w:rPr>
              <w:lastRenderedPageBreak/>
              <w:t>3</w:t>
            </w:r>
            <w:r w:rsidRPr="00822661">
              <w:rPr>
                <w:sz w:val="24"/>
                <w:szCs w:val="24"/>
              </w:rPr>
              <w:t xml:space="preserve"> Do rekomendowanych metod dla SUMP zaliczamy przynajmniej konsultacje społeczne oraz jedną z metod badań jakościowych.  </w:t>
            </w:r>
          </w:p>
          <w:p w14:paraId="0596F3B3" w14:textId="7E370BAA" w:rsidR="00CA6716" w:rsidRPr="00822661" w:rsidRDefault="00CA6716" w:rsidP="0061306E">
            <w:pPr>
              <w:spacing w:after="0"/>
              <w:rPr>
                <w:rFonts w:ascii="Calibri" w:hAnsi="Calibri" w:cs="Calibri"/>
                <w:sz w:val="24"/>
                <w:szCs w:val="24"/>
              </w:rPr>
            </w:pPr>
            <w:r w:rsidRPr="00822661">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B0FC3D7" w14:textId="7A2D4625" w:rsidR="00CA6716" w:rsidRPr="00822661" w:rsidRDefault="00CA6716" w:rsidP="0063670D">
            <w:pPr>
              <w:widowControl w:val="0"/>
              <w:spacing w:after="120"/>
              <w:jc w:val="center"/>
              <w:rPr>
                <w:rFonts w:cs="Calibri"/>
                <w:bCs/>
                <w:sz w:val="24"/>
                <w:szCs w:val="24"/>
                <w:lang w:eastAsia="pl-PL"/>
              </w:rPr>
            </w:pPr>
            <w:r w:rsidRPr="00822661">
              <w:rPr>
                <w:rFonts w:cs="Calibri"/>
                <w:bCs/>
                <w:sz w:val="24"/>
                <w:szCs w:val="24"/>
                <w:lang w:eastAsia="pl-PL"/>
              </w:rPr>
              <w:lastRenderedPageBreak/>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6D8D037" w14:textId="666FC398" w:rsidR="00CA6716" w:rsidRPr="00822661" w:rsidRDefault="00CA6716" w:rsidP="008B4F80">
            <w:pPr>
              <w:widowControl w:val="0"/>
              <w:spacing w:after="120"/>
              <w:jc w:val="center"/>
              <w:rPr>
                <w:rFonts w:cs="Calibri"/>
                <w:bCs/>
                <w:sz w:val="24"/>
                <w:szCs w:val="24"/>
                <w:lang w:eastAsia="pl-PL"/>
              </w:rPr>
            </w:pPr>
            <w:r w:rsidRPr="00822661">
              <w:rPr>
                <w:rFonts w:cs="Calibri"/>
                <w:bCs/>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6B8C843" w14:textId="1C8CE8BE" w:rsidR="00CA6716" w:rsidRPr="00822661" w:rsidRDefault="00CA6716" w:rsidP="008B4F80">
            <w:pPr>
              <w:widowControl w:val="0"/>
              <w:spacing w:after="120"/>
              <w:jc w:val="center"/>
              <w:rPr>
                <w:rFonts w:cs="Calibri"/>
                <w:bCs/>
                <w:sz w:val="24"/>
                <w:szCs w:val="24"/>
                <w:lang w:eastAsia="pl-PL"/>
              </w:rPr>
            </w:pPr>
            <w:r w:rsidRPr="00822661">
              <w:rPr>
                <w:rFonts w:cs="Calibri"/>
                <w:bCs/>
                <w:sz w:val="24"/>
                <w:szCs w:val="24"/>
                <w:lang w:eastAsia="pl-PL"/>
              </w:rPr>
              <w:t>0-4 pkt</w:t>
            </w:r>
          </w:p>
        </w:tc>
      </w:tr>
      <w:tr w:rsidR="00CA6716" w14:paraId="5394992B" w14:textId="68E235B5" w:rsidTr="00CA6716">
        <w:trPr>
          <w:trHeight w:val="644"/>
        </w:trPr>
        <w:tc>
          <w:tcPr>
            <w:tcW w:w="567" w:type="dxa"/>
            <w:tcBorders>
              <w:top w:val="single" w:sz="4" w:space="0" w:color="92D050"/>
              <w:left w:val="single" w:sz="4" w:space="0" w:color="92D050"/>
              <w:bottom w:val="single" w:sz="4" w:space="0" w:color="92D050"/>
              <w:right w:val="single" w:sz="4" w:space="0" w:color="92D050"/>
            </w:tcBorders>
            <w:vAlign w:val="center"/>
          </w:tcPr>
          <w:p w14:paraId="79A52038" w14:textId="643FC99C" w:rsidR="00CA6716" w:rsidRPr="00A3574B" w:rsidRDefault="00CA6716" w:rsidP="008B4F80">
            <w:pPr>
              <w:widowControl w:val="0"/>
              <w:spacing w:after="120"/>
              <w:rPr>
                <w:rFonts w:cs="Calibri"/>
                <w:sz w:val="24"/>
                <w:szCs w:val="24"/>
              </w:rPr>
            </w:pPr>
            <w:r>
              <w:rPr>
                <w:rFonts w:cs="Calibri"/>
                <w:sz w:val="24"/>
                <w:szCs w:val="24"/>
              </w:rPr>
              <w:t>4.</w:t>
            </w:r>
          </w:p>
        </w:tc>
        <w:tc>
          <w:tcPr>
            <w:tcW w:w="1988" w:type="dxa"/>
            <w:tcBorders>
              <w:top w:val="single" w:sz="4" w:space="0" w:color="92D050"/>
              <w:left w:val="single" w:sz="4" w:space="0" w:color="92D050"/>
              <w:bottom w:val="single" w:sz="4" w:space="0" w:color="92D050"/>
              <w:right w:val="single" w:sz="4" w:space="0" w:color="92D050"/>
            </w:tcBorders>
            <w:vAlign w:val="center"/>
          </w:tcPr>
          <w:p w14:paraId="4ED20A2A" w14:textId="1E987CA8" w:rsidR="00CA6716" w:rsidRPr="00A3574B" w:rsidRDefault="00CA6716" w:rsidP="008B4F80">
            <w:pPr>
              <w:widowControl w:val="0"/>
              <w:spacing w:after="120"/>
              <w:rPr>
                <w:rFonts w:ascii="Calibri" w:hAnsi="Calibri" w:cs="Calibri"/>
                <w:bCs/>
                <w:sz w:val="24"/>
                <w:szCs w:val="24"/>
              </w:rPr>
            </w:pPr>
            <w:r>
              <w:rPr>
                <w:rFonts w:ascii="Calibri" w:hAnsi="Calibri" w:cs="Calibri"/>
                <w:bCs/>
                <w:sz w:val="24"/>
                <w:szCs w:val="24"/>
              </w:rPr>
              <w:t>Przygotowanie projektu do realizacji</w:t>
            </w:r>
          </w:p>
        </w:tc>
        <w:tc>
          <w:tcPr>
            <w:tcW w:w="9070" w:type="dxa"/>
            <w:tcBorders>
              <w:top w:val="single" w:sz="4" w:space="0" w:color="92D050"/>
              <w:left w:val="single" w:sz="4" w:space="0" w:color="92D050"/>
              <w:bottom w:val="single" w:sz="4" w:space="0" w:color="92D050"/>
              <w:right w:val="single" w:sz="4" w:space="0" w:color="92D050"/>
            </w:tcBorders>
            <w:vAlign w:val="center"/>
          </w:tcPr>
          <w:p w14:paraId="601BC30C" w14:textId="77777777" w:rsidR="00CA6716" w:rsidRPr="008A5ED3" w:rsidRDefault="00CA6716" w:rsidP="008A5ED3">
            <w:pPr>
              <w:pStyle w:val="Default"/>
              <w:spacing w:line="276" w:lineRule="auto"/>
              <w:rPr>
                <w:rFonts w:asciiTheme="minorHAnsi" w:hAnsiTheme="minorHAnsi" w:cstheme="minorHAnsi"/>
              </w:rPr>
            </w:pPr>
            <w:r w:rsidRPr="008A5ED3">
              <w:rPr>
                <w:rFonts w:asciiTheme="minorHAnsi" w:hAnsiTheme="minorHAnsi" w:cstheme="minorHAnsi"/>
              </w:rPr>
              <w:t xml:space="preserve">Ocena stanu przygotowania postępowań przetargowych niezbędnych do przygotowania SUMP. Kryterium dotyczy wszystkich kluczowych postępowań przetargowych niezbędnych do przygotowania SUMP objętych wnioskiem o dofinansowanie. Punkty zostaną przyznane, jeżeli wszystkie postępowania osiągnęły dany etap. </w:t>
            </w:r>
          </w:p>
          <w:p w14:paraId="24168B23" w14:textId="5510B029" w:rsidR="00CA6716" w:rsidRPr="008A5ED3" w:rsidRDefault="00CA6716" w:rsidP="008A5ED3">
            <w:pPr>
              <w:pStyle w:val="Default"/>
              <w:spacing w:line="276" w:lineRule="auto"/>
              <w:rPr>
                <w:rFonts w:asciiTheme="minorHAnsi" w:hAnsiTheme="minorHAnsi" w:cstheme="minorHAnsi"/>
              </w:rPr>
            </w:pPr>
            <w:r w:rsidRPr="008A5ED3">
              <w:rPr>
                <w:rFonts w:asciiTheme="minorHAnsi" w:hAnsiTheme="minorHAnsi" w:cstheme="minorHAnsi"/>
              </w:rPr>
              <w:t>1 pkt – przygotowano opis przedmiotu zamówienia</w:t>
            </w:r>
            <w:r>
              <w:rPr>
                <w:rFonts w:asciiTheme="minorHAnsi" w:hAnsiTheme="minorHAnsi" w:cstheme="minorHAnsi"/>
              </w:rPr>
              <w:t>;</w:t>
            </w:r>
            <w:r w:rsidRPr="008A5ED3">
              <w:rPr>
                <w:rFonts w:asciiTheme="minorHAnsi" w:hAnsiTheme="minorHAnsi" w:cstheme="minorHAnsi"/>
              </w:rPr>
              <w:t xml:space="preserve"> </w:t>
            </w:r>
          </w:p>
          <w:p w14:paraId="0FE48726" w14:textId="5DA2038C" w:rsidR="00CA6716" w:rsidRPr="008A5ED3" w:rsidRDefault="00CA6716" w:rsidP="008A5ED3">
            <w:pPr>
              <w:pStyle w:val="Default"/>
              <w:spacing w:line="276" w:lineRule="auto"/>
              <w:rPr>
                <w:rFonts w:asciiTheme="minorHAnsi" w:hAnsiTheme="minorHAnsi" w:cstheme="minorHAnsi"/>
              </w:rPr>
            </w:pPr>
            <w:r w:rsidRPr="008A5ED3">
              <w:rPr>
                <w:rFonts w:asciiTheme="minorHAnsi" w:hAnsiTheme="minorHAnsi" w:cstheme="minorHAnsi"/>
              </w:rPr>
              <w:t>2 pkt – przygotowano dokumentację przetargową (pełną dokumentację niezbędną do wszczęcia postępowania o udzielenie zamówienia publicznego)</w:t>
            </w:r>
            <w:r w:rsidRPr="008A5ED3">
              <w:rPr>
                <w:rFonts w:asciiTheme="minorHAnsi" w:hAnsiTheme="minorHAnsi" w:cstheme="minorHAnsi"/>
                <w:vertAlign w:val="superscript"/>
              </w:rPr>
              <w:t>1</w:t>
            </w:r>
            <w:r>
              <w:rPr>
                <w:rFonts w:asciiTheme="minorHAnsi" w:hAnsiTheme="minorHAnsi" w:cstheme="minorHAnsi"/>
              </w:rPr>
              <w:t>;</w:t>
            </w:r>
            <w:r w:rsidRPr="008A5ED3">
              <w:rPr>
                <w:rFonts w:asciiTheme="minorHAnsi" w:hAnsiTheme="minorHAnsi" w:cstheme="minorHAnsi"/>
              </w:rPr>
              <w:t xml:space="preserve"> </w:t>
            </w:r>
          </w:p>
          <w:p w14:paraId="4D217094" w14:textId="518EEF79" w:rsidR="00CA6716" w:rsidRPr="008A5ED3" w:rsidRDefault="00CA6716" w:rsidP="008A5ED3">
            <w:pPr>
              <w:pStyle w:val="Default"/>
              <w:spacing w:line="276" w:lineRule="auto"/>
              <w:rPr>
                <w:rFonts w:asciiTheme="minorHAnsi" w:hAnsiTheme="minorHAnsi" w:cstheme="minorHAnsi"/>
              </w:rPr>
            </w:pPr>
            <w:r w:rsidRPr="008A5ED3">
              <w:rPr>
                <w:rFonts w:asciiTheme="minorHAnsi" w:hAnsiTheme="minorHAnsi" w:cstheme="minorHAnsi"/>
              </w:rPr>
              <w:t>1 pkt – wszczęto postępowanie o udzielenie zamówienia publicznego</w:t>
            </w:r>
            <w:r>
              <w:rPr>
                <w:rFonts w:asciiTheme="minorHAnsi" w:hAnsiTheme="minorHAnsi" w:cstheme="minorHAnsi"/>
              </w:rPr>
              <w:t>;</w:t>
            </w:r>
            <w:r w:rsidRPr="008A5ED3">
              <w:rPr>
                <w:rFonts w:asciiTheme="minorHAnsi" w:hAnsiTheme="minorHAnsi" w:cstheme="minorHAnsi"/>
              </w:rPr>
              <w:t xml:space="preserve"> </w:t>
            </w:r>
          </w:p>
          <w:p w14:paraId="2B6EED46" w14:textId="7385E1C0" w:rsidR="00CA6716" w:rsidRDefault="00CA6716" w:rsidP="00BC1C11">
            <w:pPr>
              <w:spacing w:after="120"/>
              <w:rPr>
                <w:rFonts w:cstheme="minorHAnsi"/>
                <w:sz w:val="24"/>
                <w:szCs w:val="24"/>
              </w:rPr>
            </w:pPr>
            <w:r w:rsidRPr="008A5ED3">
              <w:rPr>
                <w:rFonts w:cstheme="minorHAnsi"/>
                <w:sz w:val="24"/>
                <w:szCs w:val="24"/>
              </w:rPr>
              <w:t>1 pkt – podpisano umowę z wybranym wykonawcą</w:t>
            </w:r>
            <w:r>
              <w:rPr>
                <w:rFonts w:cstheme="minorHAnsi"/>
                <w:sz w:val="24"/>
                <w:szCs w:val="24"/>
              </w:rPr>
              <w:t>.</w:t>
            </w:r>
          </w:p>
          <w:p w14:paraId="67007083" w14:textId="2AB60BC9" w:rsidR="00CA6716" w:rsidRDefault="00CA6716" w:rsidP="008A5ED3">
            <w:pPr>
              <w:spacing w:after="0"/>
              <w:rPr>
                <w:rFonts w:cstheme="minorHAnsi"/>
                <w:sz w:val="24"/>
                <w:szCs w:val="24"/>
              </w:rPr>
            </w:pPr>
            <w:r>
              <w:rPr>
                <w:rFonts w:cstheme="minorHAnsi"/>
                <w:sz w:val="24"/>
                <w:szCs w:val="24"/>
              </w:rPr>
              <w:t>Punkty sumują się.</w:t>
            </w:r>
          </w:p>
          <w:p w14:paraId="6D651149" w14:textId="028EDBA8" w:rsidR="00CA6716" w:rsidRDefault="00CA6716" w:rsidP="00924C40">
            <w:pPr>
              <w:spacing w:after="120"/>
              <w:rPr>
                <w:sz w:val="24"/>
                <w:szCs w:val="24"/>
              </w:rPr>
            </w:pPr>
            <w:r w:rsidRPr="008A5ED3">
              <w:rPr>
                <w:rFonts w:cstheme="minorHAnsi"/>
                <w:sz w:val="24"/>
                <w:szCs w:val="24"/>
                <w:vertAlign w:val="superscript"/>
              </w:rPr>
              <w:t>1</w:t>
            </w:r>
            <w:r w:rsidRPr="008A5ED3">
              <w:rPr>
                <w:rFonts w:cstheme="minorHAnsi"/>
                <w:sz w:val="24"/>
                <w:szCs w:val="24"/>
              </w:rPr>
              <w:t xml:space="preserve"> </w:t>
            </w:r>
            <w:r w:rsidRPr="008A5ED3">
              <w:rPr>
                <w:sz w:val="24"/>
                <w:szCs w:val="24"/>
              </w:rPr>
              <w:t xml:space="preserve">Należy uwzględnić, że SOOŚ powinna być elementem dokumentacji przetargowej. Może też stanowić odrębne postępowanie przetargowe.  </w:t>
            </w:r>
          </w:p>
          <w:p w14:paraId="6ADCD6FB" w14:textId="595508D1" w:rsidR="00CA6716" w:rsidRPr="008A5ED3" w:rsidRDefault="00CA6716" w:rsidP="008A5ED3">
            <w:pPr>
              <w:spacing w:after="0"/>
              <w:rPr>
                <w:rFonts w:ascii="Calibri" w:hAnsi="Calibri" w:cs="Calibri"/>
                <w:sz w:val="24"/>
                <w:szCs w:val="24"/>
              </w:rPr>
            </w:pPr>
            <w:r w:rsidRPr="0063670D">
              <w:rPr>
                <w:rFonts w:cs="Calibri"/>
                <w:sz w:val="24"/>
                <w:szCs w:val="24"/>
                <w:lang w:eastAsia="pl-PL"/>
              </w:rPr>
              <w:t>Kryterium weryfikowane na podstawie zapisów wniosku o dofinansowanie i załączników i/lub wyjaśnień udzielonych przez Wnioskodawcę.</w:t>
            </w:r>
            <w:r w:rsidRPr="008A5ED3">
              <w:rPr>
                <w:sz w:val="24"/>
                <w:szCs w:val="24"/>
              </w:rPr>
              <w:t xml:space="preserve"> </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5304056" w14:textId="35E8EB2F" w:rsidR="00CA6716" w:rsidRPr="00A3574B" w:rsidRDefault="00CA6716" w:rsidP="0063670D">
            <w:pPr>
              <w:widowControl w:val="0"/>
              <w:spacing w:after="120"/>
              <w:jc w:val="center"/>
              <w:rPr>
                <w:rFonts w:cs="Calibri"/>
                <w:bCs/>
                <w:sz w:val="24"/>
                <w:szCs w:val="24"/>
                <w:lang w:eastAsia="pl-PL"/>
              </w:rPr>
            </w:pPr>
            <w:r w:rsidRPr="00A3574B">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721057A" w14:textId="68AF938E" w:rsidR="00CA6716" w:rsidRPr="00A3574B" w:rsidRDefault="00CA6716" w:rsidP="008B4F80">
            <w:pPr>
              <w:widowControl w:val="0"/>
              <w:spacing w:after="120"/>
              <w:jc w:val="center"/>
              <w:rPr>
                <w:rFonts w:cs="Calibri"/>
                <w:bCs/>
                <w:sz w:val="24"/>
                <w:szCs w:val="24"/>
                <w:lang w:eastAsia="pl-PL"/>
              </w:rPr>
            </w:pPr>
            <w:r>
              <w:rPr>
                <w:rFonts w:cs="Calibri"/>
                <w:bCs/>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8DBD1D0" w14:textId="2E4017F6" w:rsidR="00CA6716" w:rsidRPr="00A3574B" w:rsidRDefault="00CA6716" w:rsidP="008B4F80">
            <w:pPr>
              <w:widowControl w:val="0"/>
              <w:spacing w:after="120"/>
              <w:jc w:val="center"/>
              <w:rPr>
                <w:rFonts w:cs="Calibri"/>
                <w:bCs/>
                <w:sz w:val="24"/>
                <w:szCs w:val="24"/>
                <w:lang w:eastAsia="pl-PL"/>
              </w:rPr>
            </w:pPr>
            <w:r>
              <w:rPr>
                <w:rFonts w:cs="Calibri"/>
                <w:bCs/>
                <w:sz w:val="24"/>
                <w:szCs w:val="24"/>
                <w:lang w:eastAsia="pl-PL"/>
              </w:rPr>
              <w:t>0-5 pkt</w:t>
            </w:r>
          </w:p>
        </w:tc>
      </w:tr>
      <w:tr w:rsidR="00CA6716" w14:paraId="66AB977B" w14:textId="51CDF7AD" w:rsidTr="00CA6716">
        <w:trPr>
          <w:trHeight w:val="644"/>
        </w:trPr>
        <w:tc>
          <w:tcPr>
            <w:tcW w:w="567" w:type="dxa"/>
            <w:tcBorders>
              <w:top w:val="single" w:sz="4" w:space="0" w:color="92D050"/>
              <w:left w:val="single" w:sz="4" w:space="0" w:color="92D050"/>
              <w:bottom w:val="single" w:sz="4" w:space="0" w:color="92D050"/>
              <w:right w:val="single" w:sz="4" w:space="0" w:color="92D050"/>
            </w:tcBorders>
            <w:vAlign w:val="center"/>
          </w:tcPr>
          <w:p w14:paraId="287FD71B" w14:textId="5AF30814" w:rsidR="00CA6716" w:rsidRPr="00A3574B" w:rsidRDefault="00CA6716" w:rsidP="003B23B5">
            <w:pPr>
              <w:widowControl w:val="0"/>
              <w:spacing w:after="0"/>
              <w:rPr>
                <w:rFonts w:cs="Calibri"/>
                <w:sz w:val="24"/>
                <w:szCs w:val="24"/>
              </w:rPr>
            </w:pPr>
            <w:r>
              <w:rPr>
                <w:rFonts w:cs="Calibri"/>
                <w:sz w:val="24"/>
                <w:szCs w:val="24"/>
              </w:rPr>
              <w:lastRenderedPageBreak/>
              <w:t>5.</w:t>
            </w:r>
          </w:p>
        </w:tc>
        <w:tc>
          <w:tcPr>
            <w:tcW w:w="1988" w:type="dxa"/>
            <w:tcBorders>
              <w:top w:val="single" w:sz="4" w:space="0" w:color="92D050"/>
              <w:left w:val="single" w:sz="4" w:space="0" w:color="92D050"/>
              <w:bottom w:val="single" w:sz="4" w:space="0" w:color="92D050"/>
              <w:right w:val="single" w:sz="4" w:space="0" w:color="92D050"/>
            </w:tcBorders>
            <w:vAlign w:val="center"/>
          </w:tcPr>
          <w:p w14:paraId="4B6BF675" w14:textId="350F3E1D" w:rsidR="00CA6716" w:rsidRPr="00A3574B" w:rsidRDefault="00CA6716" w:rsidP="003B23B5">
            <w:pPr>
              <w:widowControl w:val="0"/>
              <w:spacing w:after="0"/>
              <w:rPr>
                <w:rFonts w:ascii="Calibri" w:hAnsi="Calibri" w:cs="Calibri"/>
                <w:bCs/>
                <w:sz w:val="24"/>
                <w:szCs w:val="24"/>
              </w:rPr>
            </w:pPr>
            <w:r>
              <w:rPr>
                <w:rFonts w:ascii="Calibri" w:hAnsi="Calibri" w:cs="Calibri"/>
                <w:bCs/>
                <w:sz w:val="24"/>
                <w:szCs w:val="24"/>
              </w:rPr>
              <w:t xml:space="preserve">Uwzględnienie aspektów środowiskowych </w:t>
            </w:r>
            <w:r>
              <w:rPr>
                <w:rFonts w:ascii="Calibri" w:hAnsi="Calibri" w:cs="Calibri"/>
                <w:bCs/>
                <w:sz w:val="24"/>
                <w:szCs w:val="24"/>
              </w:rPr>
              <w:br/>
              <w:t>w procesie przygotowania SUMP</w:t>
            </w:r>
          </w:p>
        </w:tc>
        <w:tc>
          <w:tcPr>
            <w:tcW w:w="9070" w:type="dxa"/>
            <w:tcBorders>
              <w:top w:val="single" w:sz="4" w:space="0" w:color="92D050"/>
              <w:left w:val="single" w:sz="4" w:space="0" w:color="92D050"/>
              <w:bottom w:val="single" w:sz="4" w:space="0" w:color="92D050"/>
              <w:right w:val="single" w:sz="4" w:space="0" w:color="92D050"/>
            </w:tcBorders>
            <w:vAlign w:val="center"/>
          </w:tcPr>
          <w:p w14:paraId="35A9817F" w14:textId="621665C2" w:rsidR="00CA6716" w:rsidRPr="001C5849" w:rsidRDefault="00CA6716" w:rsidP="002A52DA">
            <w:pPr>
              <w:pStyle w:val="Default"/>
              <w:spacing w:line="276" w:lineRule="auto"/>
              <w:rPr>
                <w:rFonts w:asciiTheme="minorHAnsi" w:hAnsiTheme="minorHAnsi" w:cstheme="minorHAnsi"/>
              </w:rPr>
            </w:pPr>
            <w:r w:rsidRPr="001C5849">
              <w:rPr>
                <w:rFonts w:asciiTheme="minorHAnsi" w:hAnsiTheme="minorHAnsi" w:cstheme="minorHAnsi"/>
              </w:rPr>
              <w:t>Ocenie podlegać będzie, czy przy opracowywaniu SUMP zostanie dokonana analiza wpływu założonych do realizacji celów, pakietów działań na środowisko, w tym analizy dotyczące wpływu na zmiany klimatu i adaptacji do zmian klimatu</w:t>
            </w:r>
            <w:r w:rsidRPr="001C5849">
              <w:rPr>
                <w:rFonts w:asciiTheme="minorHAnsi" w:hAnsiTheme="minorHAnsi" w:cstheme="minorHAnsi"/>
                <w:vertAlign w:val="superscript"/>
              </w:rPr>
              <w:t>1</w:t>
            </w:r>
            <w:r w:rsidRPr="001C5849">
              <w:rPr>
                <w:rFonts w:asciiTheme="minorHAnsi" w:hAnsiTheme="minorHAnsi" w:cstheme="minorHAnsi"/>
              </w:rPr>
              <w:t xml:space="preserve">. </w:t>
            </w:r>
          </w:p>
          <w:p w14:paraId="5C5BC52F" w14:textId="615E85DC" w:rsidR="00CA6716" w:rsidRDefault="00CA6716" w:rsidP="002A52DA">
            <w:pPr>
              <w:spacing w:after="0"/>
              <w:rPr>
                <w:sz w:val="20"/>
                <w:szCs w:val="20"/>
              </w:rPr>
            </w:pPr>
            <w:r w:rsidRPr="001C5849">
              <w:rPr>
                <w:rFonts w:cstheme="minorHAnsi"/>
                <w:sz w:val="24"/>
                <w:szCs w:val="24"/>
              </w:rPr>
              <w:t>5 pkt – w SUMP zostanie dokonana analiza wpływu założonych do realizacji celów i</w:t>
            </w:r>
            <w:r w:rsidR="00A34B45">
              <w:rPr>
                <w:rFonts w:cstheme="minorHAnsi"/>
                <w:sz w:val="24"/>
                <w:szCs w:val="24"/>
              </w:rPr>
              <w:t> </w:t>
            </w:r>
            <w:r w:rsidRPr="001C5849">
              <w:rPr>
                <w:rFonts w:cstheme="minorHAnsi"/>
                <w:sz w:val="24"/>
                <w:szCs w:val="24"/>
              </w:rPr>
              <w:t>pakietów działań na środowisko i klimat</w:t>
            </w:r>
            <w:r>
              <w:rPr>
                <w:rFonts w:cstheme="minorHAnsi"/>
                <w:sz w:val="24"/>
                <w:szCs w:val="24"/>
              </w:rPr>
              <w:t>.</w:t>
            </w:r>
            <w:r>
              <w:rPr>
                <w:sz w:val="20"/>
                <w:szCs w:val="20"/>
              </w:rPr>
              <w:t xml:space="preserve"> </w:t>
            </w:r>
          </w:p>
          <w:p w14:paraId="1670BFCB" w14:textId="77777777" w:rsidR="00CA6716" w:rsidRDefault="00CA6716" w:rsidP="002A52DA">
            <w:pPr>
              <w:spacing w:after="0"/>
              <w:rPr>
                <w:sz w:val="20"/>
                <w:szCs w:val="20"/>
              </w:rPr>
            </w:pPr>
          </w:p>
          <w:p w14:paraId="3DDAEC92" w14:textId="4263F4A9" w:rsidR="00CA6716" w:rsidRPr="00C473EE" w:rsidRDefault="00CA6716" w:rsidP="00510D9E">
            <w:pPr>
              <w:spacing w:after="0"/>
              <w:rPr>
                <w:sz w:val="24"/>
                <w:szCs w:val="24"/>
              </w:rPr>
            </w:pPr>
            <w:r w:rsidRPr="00C473EE">
              <w:rPr>
                <w:sz w:val="24"/>
                <w:szCs w:val="24"/>
              </w:rPr>
              <w:t>0 pkt - w SUMP nie zostanie dokonana analiza wpływu założonych do realizacji celów i</w:t>
            </w:r>
            <w:r w:rsidR="00A34B45">
              <w:rPr>
                <w:sz w:val="24"/>
                <w:szCs w:val="24"/>
              </w:rPr>
              <w:t> </w:t>
            </w:r>
            <w:r w:rsidRPr="00C473EE">
              <w:rPr>
                <w:sz w:val="24"/>
                <w:szCs w:val="24"/>
              </w:rPr>
              <w:t>pakietów działań na środowisko i klimat.</w:t>
            </w:r>
          </w:p>
          <w:p w14:paraId="4CE8A8D1" w14:textId="77777777" w:rsidR="00CA6716" w:rsidRDefault="00CA6716" w:rsidP="002A52DA">
            <w:pPr>
              <w:spacing w:after="0"/>
              <w:rPr>
                <w:sz w:val="20"/>
                <w:szCs w:val="20"/>
              </w:rPr>
            </w:pPr>
          </w:p>
          <w:p w14:paraId="62DE59A8" w14:textId="31CBB866" w:rsidR="00CA6716" w:rsidRDefault="00CA6716" w:rsidP="00924C40">
            <w:pPr>
              <w:spacing w:after="120"/>
              <w:rPr>
                <w:sz w:val="24"/>
                <w:szCs w:val="24"/>
              </w:rPr>
            </w:pPr>
            <w:r w:rsidRPr="001C5849">
              <w:rPr>
                <w:sz w:val="24"/>
                <w:szCs w:val="24"/>
                <w:vertAlign w:val="superscript"/>
              </w:rPr>
              <w:t>1</w:t>
            </w:r>
            <w:r w:rsidRPr="001C5849">
              <w:rPr>
                <w:sz w:val="24"/>
                <w:szCs w:val="24"/>
              </w:rPr>
              <w:t xml:space="preserve"> Analiza wpływu na środowisko powinna być prowadzona od jak najwcześniejszych etapów pracy nad SUMP, problemy powinny być definiowane na bieżąco oraz rozwiązywane w miarę postępu prac nad SUMP. Analiza wpływu na środowisko nie powinna być utożsamiana ze Strategiczną Oceną Oddziaływania na Środowisko w myśl Ustawy z dnia 3 października 2008 r. o udostępnianiu informacji o środowisku i jego ochronie, udziale społeczeństwa w ochronie środowiska oraz o ocenach oddziaływania na środowisko (</w:t>
            </w:r>
            <w:r>
              <w:rPr>
                <w:sz w:val="24"/>
                <w:szCs w:val="24"/>
              </w:rPr>
              <w:t xml:space="preserve">t.j. </w:t>
            </w:r>
            <w:r w:rsidRPr="001C5849">
              <w:rPr>
                <w:sz w:val="24"/>
                <w:szCs w:val="24"/>
              </w:rPr>
              <w:t xml:space="preserve">Dz. U. </w:t>
            </w:r>
            <w:r>
              <w:rPr>
                <w:sz w:val="24"/>
                <w:szCs w:val="24"/>
              </w:rPr>
              <w:t xml:space="preserve">z </w:t>
            </w:r>
            <w:r w:rsidRPr="001C5849">
              <w:rPr>
                <w:sz w:val="24"/>
                <w:szCs w:val="24"/>
              </w:rPr>
              <w:t>20</w:t>
            </w:r>
            <w:r>
              <w:rPr>
                <w:sz w:val="24"/>
                <w:szCs w:val="24"/>
              </w:rPr>
              <w:t>23 r.</w:t>
            </w:r>
            <w:r w:rsidRPr="001C5849">
              <w:rPr>
                <w:sz w:val="24"/>
                <w:szCs w:val="24"/>
              </w:rPr>
              <w:t xml:space="preserve"> poz. 1</w:t>
            </w:r>
            <w:r>
              <w:rPr>
                <w:sz w:val="24"/>
                <w:szCs w:val="24"/>
              </w:rPr>
              <w:t>094</w:t>
            </w:r>
            <w:r w:rsidRPr="001C5849">
              <w:rPr>
                <w:sz w:val="24"/>
                <w:szCs w:val="24"/>
              </w:rPr>
              <w:t xml:space="preserve"> z późn. zm.), choć może być jej częścią.  </w:t>
            </w:r>
          </w:p>
          <w:p w14:paraId="07DAC392" w14:textId="0722635E" w:rsidR="00CA6716" w:rsidRPr="001C5849" w:rsidRDefault="00CA6716" w:rsidP="002A52DA">
            <w:pPr>
              <w:spacing w:after="0"/>
              <w:rPr>
                <w:rFonts w:ascii="Calibri" w:hAnsi="Calibri" w:cs="Calibri"/>
                <w:sz w:val="24"/>
                <w:szCs w:val="24"/>
              </w:rPr>
            </w:pPr>
            <w:r w:rsidRPr="0063670D">
              <w:rPr>
                <w:rFonts w:cs="Calibri"/>
                <w:sz w:val="24"/>
                <w:szCs w:val="24"/>
                <w:lang w:eastAsia="pl-PL"/>
              </w:rPr>
              <w:t>Kryterium weryfikowane na podstawie zapisów wniosku o dofinansowanie i załączników i/lub wyjaśnień udzielonych przez Wnioskodawcę.</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E8D5C14" w14:textId="439339B9" w:rsidR="00CA6716" w:rsidRPr="00A3574B" w:rsidRDefault="00CA6716" w:rsidP="003B23B5">
            <w:pPr>
              <w:widowControl w:val="0"/>
              <w:spacing w:after="0"/>
              <w:jc w:val="center"/>
              <w:rPr>
                <w:rFonts w:cs="Calibri"/>
                <w:bCs/>
                <w:sz w:val="24"/>
                <w:szCs w:val="24"/>
                <w:lang w:eastAsia="pl-PL"/>
              </w:rPr>
            </w:pPr>
            <w:r w:rsidRPr="00A3574B">
              <w:rPr>
                <w:rFonts w:cs="Calibri"/>
                <w:bCs/>
                <w:sz w:val="24"/>
                <w:szCs w:val="24"/>
                <w:lang w:eastAsia="pl-PL"/>
              </w:rPr>
              <w:t>Kryterium premiujące</w:t>
            </w:r>
          </w:p>
        </w:tc>
        <w:tc>
          <w:tcPr>
            <w:tcW w:w="127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40125344" w14:textId="32BC99A9" w:rsidR="00CA6716" w:rsidRPr="00A3574B" w:rsidRDefault="00CA6716" w:rsidP="003B23B5">
            <w:pPr>
              <w:widowControl w:val="0"/>
              <w:spacing w:after="0"/>
              <w:jc w:val="center"/>
              <w:rPr>
                <w:rFonts w:cs="Calibri"/>
                <w:bCs/>
                <w:sz w:val="24"/>
                <w:szCs w:val="24"/>
                <w:lang w:eastAsia="pl-PL"/>
              </w:rPr>
            </w:pPr>
            <w:r>
              <w:rPr>
                <w:rFonts w:cs="Calibri"/>
                <w:bCs/>
                <w:sz w:val="24"/>
                <w:szCs w:val="24"/>
                <w:lang w:eastAsia="pl-PL"/>
              </w:rPr>
              <w:t>1</w:t>
            </w:r>
          </w:p>
        </w:tc>
        <w:tc>
          <w:tcPr>
            <w:tcW w:w="141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A11360A" w14:textId="4D4ABEC0" w:rsidR="00CA6716" w:rsidRPr="00A3574B" w:rsidRDefault="00CA6716" w:rsidP="003B23B5">
            <w:pPr>
              <w:widowControl w:val="0"/>
              <w:spacing w:after="0"/>
              <w:jc w:val="center"/>
              <w:rPr>
                <w:rFonts w:cs="Calibri"/>
                <w:bCs/>
                <w:sz w:val="24"/>
                <w:szCs w:val="24"/>
                <w:lang w:eastAsia="pl-PL"/>
              </w:rPr>
            </w:pPr>
            <w:r>
              <w:rPr>
                <w:rFonts w:cs="Calibri"/>
                <w:bCs/>
                <w:sz w:val="24"/>
                <w:szCs w:val="24"/>
                <w:lang w:eastAsia="pl-PL"/>
              </w:rPr>
              <w:t>0 lub 5 pkt</w:t>
            </w:r>
          </w:p>
        </w:tc>
      </w:tr>
    </w:tbl>
    <w:p w14:paraId="1A372D36" w14:textId="77777777" w:rsidR="0018164B" w:rsidRDefault="0018164B" w:rsidP="00516ADE"/>
    <w:sectPr w:rsidR="0018164B" w:rsidSect="000421C5">
      <w:footerReference w:type="default" r:id="rId14"/>
      <w:pgSz w:w="16838" w:h="11906" w:orient="landscape"/>
      <w:pgMar w:top="1417" w:right="1417" w:bottom="1417" w:left="1417" w:header="0"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E8C0" w14:textId="77777777" w:rsidR="007427E9" w:rsidRDefault="007427E9">
      <w:pPr>
        <w:spacing w:after="0" w:line="240" w:lineRule="auto"/>
      </w:pPr>
      <w:r>
        <w:separator/>
      </w:r>
    </w:p>
  </w:endnote>
  <w:endnote w:type="continuationSeparator" w:id="0">
    <w:p w14:paraId="0430E865" w14:textId="77777777" w:rsidR="007427E9" w:rsidRDefault="0074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371"/>
      <w:docPartObj>
        <w:docPartGallery w:val="Page Numbers (Bottom of Page)"/>
        <w:docPartUnique/>
      </w:docPartObj>
    </w:sdtPr>
    <w:sdtEndPr/>
    <w:sdtContent>
      <w:p w14:paraId="0548F335" w14:textId="5229A589" w:rsidR="00822661" w:rsidRDefault="00822661">
        <w:pPr>
          <w:pStyle w:val="Stopka"/>
          <w:jc w:val="center"/>
        </w:pPr>
        <w:r>
          <w:fldChar w:fldCharType="begin"/>
        </w:r>
        <w:r>
          <w:instrText>PAGE   \* MERGEFORMAT</w:instrText>
        </w:r>
        <w:r>
          <w:fldChar w:fldCharType="separate"/>
        </w:r>
        <w:r w:rsidR="00CA3079">
          <w:rPr>
            <w:noProof/>
          </w:rPr>
          <w:t>10</w:t>
        </w:r>
        <w:r>
          <w:fldChar w:fldCharType="end"/>
        </w:r>
      </w:p>
    </w:sdtContent>
  </w:sdt>
  <w:p w14:paraId="72B1DBC6" w14:textId="77777777" w:rsidR="00822661" w:rsidRDefault="008226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AEF5" w14:textId="77777777" w:rsidR="007427E9" w:rsidRDefault="007427E9">
      <w:pPr>
        <w:rPr>
          <w:sz w:val="12"/>
        </w:rPr>
      </w:pPr>
      <w:r>
        <w:separator/>
      </w:r>
    </w:p>
  </w:footnote>
  <w:footnote w:type="continuationSeparator" w:id="0">
    <w:p w14:paraId="74F4BBAE" w14:textId="77777777" w:rsidR="007427E9" w:rsidRDefault="007427E9">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7A7"/>
    <w:multiLevelType w:val="multilevel"/>
    <w:tmpl w:val="8A72AFA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 w15:restartNumberingAfterBreak="0">
    <w:nsid w:val="0B502FD1"/>
    <w:multiLevelType w:val="hybridMultilevel"/>
    <w:tmpl w:val="016A8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D3AFD"/>
    <w:multiLevelType w:val="hybridMultilevel"/>
    <w:tmpl w:val="54827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6501B1"/>
    <w:multiLevelType w:val="hybridMultilevel"/>
    <w:tmpl w:val="F648B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5605BD"/>
    <w:multiLevelType w:val="multilevel"/>
    <w:tmpl w:val="8A72AFA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5" w15:restartNumberingAfterBreak="0">
    <w:nsid w:val="1715241F"/>
    <w:multiLevelType w:val="hybridMultilevel"/>
    <w:tmpl w:val="014AC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5D3593"/>
    <w:multiLevelType w:val="hybridMultilevel"/>
    <w:tmpl w:val="1F9AAF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253F64"/>
    <w:multiLevelType w:val="hybridMultilevel"/>
    <w:tmpl w:val="2732275E"/>
    <w:lvl w:ilvl="0" w:tplc="80B078A2">
      <w:start w:val="1"/>
      <w:numFmt w:val="decimal"/>
      <w:lvlText w:val="%1)"/>
      <w:lvlJc w:val="left"/>
      <w:pPr>
        <w:tabs>
          <w:tab w:val="num" w:pos="0"/>
        </w:tabs>
        <w:ind w:left="720" w:hanging="360"/>
      </w:pPr>
    </w:lvl>
    <w:lvl w:ilvl="1" w:tplc="4434EDAE">
      <w:start w:val="1"/>
      <w:numFmt w:val="lowerLetter"/>
      <w:lvlText w:val="%2."/>
      <w:lvlJc w:val="left"/>
      <w:pPr>
        <w:tabs>
          <w:tab w:val="num" w:pos="0"/>
        </w:tabs>
        <w:ind w:left="1440" w:hanging="360"/>
      </w:pPr>
    </w:lvl>
    <w:lvl w:ilvl="2" w:tplc="CD2A64C6">
      <w:start w:val="1"/>
      <w:numFmt w:val="lowerRoman"/>
      <w:lvlText w:val="%3."/>
      <w:lvlJc w:val="right"/>
      <w:pPr>
        <w:tabs>
          <w:tab w:val="num" w:pos="0"/>
        </w:tabs>
        <w:ind w:left="2160" w:hanging="180"/>
      </w:pPr>
    </w:lvl>
    <w:lvl w:ilvl="3" w:tplc="553AF868">
      <w:start w:val="1"/>
      <w:numFmt w:val="decimal"/>
      <w:lvlText w:val="%4."/>
      <w:lvlJc w:val="left"/>
      <w:pPr>
        <w:tabs>
          <w:tab w:val="num" w:pos="0"/>
        </w:tabs>
        <w:ind w:left="2880" w:hanging="360"/>
      </w:pPr>
    </w:lvl>
    <w:lvl w:ilvl="4" w:tplc="6A662AB8">
      <w:start w:val="1"/>
      <w:numFmt w:val="lowerLetter"/>
      <w:lvlText w:val="%5."/>
      <w:lvlJc w:val="left"/>
      <w:pPr>
        <w:tabs>
          <w:tab w:val="num" w:pos="0"/>
        </w:tabs>
        <w:ind w:left="3600" w:hanging="360"/>
      </w:pPr>
    </w:lvl>
    <w:lvl w:ilvl="5" w:tplc="26FCFC58">
      <w:start w:val="1"/>
      <w:numFmt w:val="lowerRoman"/>
      <w:lvlText w:val="%6."/>
      <w:lvlJc w:val="right"/>
      <w:pPr>
        <w:tabs>
          <w:tab w:val="num" w:pos="0"/>
        </w:tabs>
        <w:ind w:left="4320" w:hanging="180"/>
      </w:pPr>
    </w:lvl>
    <w:lvl w:ilvl="6" w:tplc="61B4BA36">
      <w:start w:val="1"/>
      <w:numFmt w:val="decimal"/>
      <w:lvlText w:val="%7."/>
      <w:lvlJc w:val="left"/>
      <w:pPr>
        <w:tabs>
          <w:tab w:val="num" w:pos="0"/>
        </w:tabs>
        <w:ind w:left="5040" w:hanging="360"/>
      </w:pPr>
    </w:lvl>
    <w:lvl w:ilvl="7" w:tplc="5236317C">
      <w:start w:val="1"/>
      <w:numFmt w:val="lowerLetter"/>
      <w:lvlText w:val="%8."/>
      <w:lvlJc w:val="left"/>
      <w:pPr>
        <w:tabs>
          <w:tab w:val="num" w:pos="0"/>
        </w:tabs>
        <w:ind w:left="5760" w:hanging="360"/>
      </w:pPr>
    </w:lvl>
    <w:lvl w:ilvl="8" w:tplc="CD9A28E8">
      <w:start w:val="1"/>
      <w:numFmt w:val="lowerRoman"/>
      <w:lvlText w:val="%9."/>
      <w:lvlJc w:val="right"/>
      <w:pPr>
        <w:tabs>
          <w:tab w:val="num" w:pos="0"/>
        </w:tabs>
        <w:ind w:left="6480" w:hanging="180"/>
      </w:pPr>
    </w:lvl>
  </w:abstractNum>
  <w:abstractNum w:abstractNumId="8" w15:restartNumberingAfterBreak="0">
    <w:nsid w:val="38793375"/>
    <w:multiLevelType w:val="hybridMultilevel"/>
    <w:tmpl w:val="AA9EECE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1F901B"/>
    <w:multiLevelType w:val="hybridMultilevel"/>
    <w:tmpl w:val="1DE2D0A4"/>
    <w:lvl w:ilvl="0" w:tplc="D5A81086">
      <w:start w:val="1"/>
      <w:numFmt w:val="bullet"/>
      <w:lvlText w:val="·"/>
      <w:lvlJc w:val="left"/>
      <w:pPr>
        <w:ind w:left="720" w:hanging="360"/>
      </w:pPr>
      <w:rPr>
        <w:rFonts w:ascii="Symbol" w:hAnsi="Symbol" w:hint="default"/>
      </w:rPr>
    </w:lvl>
    <w:lvl w:ilvl="1" w:tplc="33B074E6">
      <w:start w:val="1"/>
      <w:numFmt w:val="bullet"/>
      <w:lvlText w:val="o"/>
      <w:lvlJc w:val="left"/>
      <w:pPr>
        <w:ind w:left="1440" w:hanging="360"/>
      </w:pPr>
      <w:rPr>
        <w:rFonts w:ascii="Courier New" w:hAnsi="Courier New" w:hint="default"/>
      </w:rPr>
    </w:lvl>
    <w:lvl w:ilvl="2" w:tplc="2AE6245A">
      <w:start w:val="1"/>
      <w:numFmt w:val="bullet"/>
      <w:lvlText w:val=""/>
      <w:lvlJc w:val="left"/>
      <w:pPr>
        <w:ind w:left="2160" w:hanging="360"/>
      </w:pPr>
      <w:rPr>
        <w:rFonts w:ascii="Wingdings" w:hAnsi="Wingdings" w:hint="default"/>
      </w:rPr>
    </w:lvl>
    <w:lvl w:ilvl="3" w:tplc="1DB61420">
      <w:start w:val="1"/>
      <w:numFmt w:val="bullet"/>
      <w:lvlText w:val=""/>
      <w:lvlJc w:val="left"/>
      <w:pPr>
        <w:ind w:left="2880" w:hanging="360"/>
      </w:pPr>
      <w:rPr>
        <w:rFonts w:ascii="Symbol" w:hAnsi="Symbol" w:hint="default"/>
      </w:rPr>
    </w:lvl>
    <w:lvl w:ilvl="4" w:tplc="4BD6A5A0">
      <w:start w:val="1"/>
      <w:numFmt w:val="bullet"/>
      <w:lvlText w:val="o"/>
      <w:lvlJc w:val="left"/>
      <w:pPr>
        <w:ind w:left="3600" w:hanging="360"/>
      </w:pPr>
      <w:rPr>
        <w:rFonts w:ascii="Courier New" w:hAnsi="Courier New" w:hint="default"/>
      </w:rPr>
    </w:lvl>
    <w:lvl w:ilvl="5" w:tplc="8FDA009E">
      <w:start w:val="1"/>
      <w:numFmt w:val="bullet"/>
      <w:lvlText w:val=""/>
      <w:lvlJc w:val="left"/>
      <w:pPr>
        <w:ind w:left="4320" w:hanging="360"/>
      </w:pPr>
      <w:rPr>
        <w:rFonts w:ascii="Wingdings" w:hAnsi="Wingdings" w:hint="default"/>
      </w:rPr>
    </w:lvl>
    <w:lvl w:ilvl="6" w:tplc="0B8EB766">
      <w:start w:val="1"/>
      <w:numFmt w:val="bullet"/>
      <w:lvlText w:val=""/>
      <w:lvlJc w:val="left"/>
      <w:pPr>
        <w:ind w:left="5040" w:hanging="360"/>
      </w:pPr>
      <w:rPr>
        <w:rFonts w:ascii="Symbol" w:hAnsi="Symbol" w:hint="default"/>
      </w:rPr>
    </w:lvl>
    <w:lvl w:ilvl="7" w:tplc="3C724D0E">
      <w:start w:val="1"/>
      <w:numFmt w:val="bullet"/>
      <w:lvlText w:val="o"/>
      <w:lvlJc w:val="left"/>
      <w:pPr>
        <w:ind w:left="5760" w:hanging="360"/>
      </w:pPr>
      <w:rPr>
        <w:rFonts w:ascii="Courier New" w:hAnsi="Courier New" w:hint="default"/>
      </w:rPr>
    </w:lvl>
    <w:lvl w:ilvl="8" w:tplc="ABDA69C6">
      <w:start w:val="1"/>
      <w:numFmt w:val="bullet"/>
      <w:lvlText w:val=""/>
      <w:lvlJc w:val="left"/>
      <w:pPr>
        <w:ind w:left="6480" w:hanging="360"/>
      </w:pPr>
      <w:rPr>
        <w:rFonts w:ascii="Wingdings" w:hAnsi="Wingdings" w:hint="default"/>
      </w:rPr>
    </w:lvl>
  </w:abstractNum>
  <w:abstractNum w:abstractNumId="10" w15:restartNumberingAfterBreak="0">
    <w:nsid w:val="43C92B65"/>
    <w:multiLevelType w:val="hybridMultilevel"/>
    <w:tmpl w:val="1E36782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3EF9A8"/>
    <w:multiLevelType w:val="hybridMultilevel"/>
    <w:tmpl w:val="38346D86"/>
    <w:lvl w:ilvl="0" w:tplc="26840B08">
      <w:start w:val="1"/>
      <w:numFmt w:val="bullet"/>
      <w:lvlText w:val="·"/>
      <w:lvlJc w:val="left"/>
      <w:pPr>
        <w:ind w:left="720" w:hanging="360"/>
      </w:pPr>
      <w:rPr>
        <w:rFonts w:ascii="Symbol" w:hAnsi="Symbol" w:hint="default"/>
      </w:rPr>
    </w:lvl>
    <w:lvl w:ilvl="1" w:tplc="8DEAC424">
      <w:start w:val="1"/>
      <w:numFmt w:val="bullet"/>
      <w:lvlText w:val="o"/>
      <w:lvlJc w:val="left"/>
      <w:pPr>
        <w:ind w:left="1440" w:hanging="360"/>
      </w:pPr>
      <w:rPr>
        <w:rFonts w:ascii="Courier New" w:hAnsi="Courier New" w:hint="default"/>
      </w:rPr>
    </w:lvl>
    <w:lvl w:ilvl="2" w:tplc="1FF8EC50">
      <w:start w:val="1"/>
      <w:numFmt w:val="bullet"/>
      <w:lvlText w:val=""/>
      <w:lvlJc w:val="left"/>
      <w:pPr>
        <w:ind w:left="2160" w:hanging="360"/>
      </w:pPr>
      <w:rPr>
        <w:rFonts w:ascii="Wingdings" w:hAnsi="Wingdings" w:hint="default"/>
      </w:rPr>
    </w:lvl>
    <w:lvl w:ilvl="3" w:tplc="719CEDAA">
      <w:start w:val="1"/>
      <w:numFmt w:val="bullet"/>
      <w:lvlText w:val=""/>
      <w:lvlJc w:val="left"/>
      <w:pPr>
        <w:ind w:left="2880" w:hanging="360"/>
      </w:pPr>
      <w:rPr>
        <w:rFonts w:ascii="Symbol" w:hAnsi="Symbol" w:hint="default"/>
      </w:rPr>
    </w:lvl>
    <w:lvl w:ilvl="4" w:tplc="161EF8E4">
      <w:start w:val="1"/>
      <w:numFmt w:val="bullet"/>
      <w:lvlText w:val="o"/>
      <w:lvlJc w:val="left"/>
      <w:pPr>
        <w:ind w:left="3600" w:hanging="360"/>
      </w:pPr>
      <w:rPr>
        <w:rFonts w:ascii="Courier New" w:hAnsi="Courier New" w:hint="default"/>
      </w:rPr>
    </w:lvl>
    <w:lvl w:ilvl="5" w:tplc="02E6A194">
      <w:start w:val="1"/>
      <w:numFmt w:val="bullet"/>
      <w:lvlText w:val=""/>
      <w:lvlJc w:val="left"/>
      <w:pPr>
        <w:ind w:left="4320" w:hanging="360"/>
      </w:pPr>
      <w:rPr>
        <w:rFonts w:ascii="Wingdings" w:hAnsi="Wingdings" w:hint="default"/>
      </w:rPr>
    </w:lvl>
    <w:lvl w:ilvl="6" w:tplc="22B2915C">
      <w:start w:val="1"/>
      <w:numFmt w:val="bullet"/>
      <w:lvlText w:val=""/>
      <w:lvlJc w:val="left"/>
      <w:pPr>
        <w:ind w:left="5040" w:hanging="360"/>
      </w:pPr>
      <w:rPr>
        <w:rFonts w:ascii="Symbol" w:hAnsi="Symbol" w:hint="default"/>
      </w:rPr>
    </w:lvl>
    <w:lvl w:ilvl="7" w:tplc="DDDAA144">
      <w:start w:val="1"/>
      <w:numFmt w:val="bullet"/>
      <w:lvlText w:val="o"/>
      <w:lvlJc w:val="left"/>
      <w:pPr>
        <w:ind w:left="5760" w:hanging="360"/>
      </w:pPr>
      <w:rPr>
        <w:rFonts w:ascii="Courier New" w:hAnsi="Courier New" w:hint="default"/>
      </w:rPr>
    </w:lvl>
    <w:lvl w:ilvl="8" w:tplc="43DCC7CA">
      <w:start w:val="1"/>
      <w:numFmt w:val="bullet"/>
      <w:lvlText w:val=""/>
      <w:lvlJc w:val="left"/>
      <w:pPr>
        <w:ind w:left="6480" w:hanging="360"/>
      </w:pPr>
      <w:rPr>
        <w:rFonts w:ascii="Wingdings" w:hAnsi="Wingdings" w:hint="default"/>
      </w:rPr>
    </w:lvl>
  </w:abstractNum>
  <w:abstractNum w:abstractNumId="12" w15:restartNumberingAfterBreak="0">
    <w:nsid w:val="4D770511"/>
    <w:multiLevelType w:val="multilevel"/>
    <w:tmpl w:val="3C90D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DEE67D3"/>
    <w:multiLevelType w:val="hybridMultilevel"/>
    <w:tmpl w:val="B9603BD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A61871"/>
    <w:multiLevelType w:val="multilevel"/>
    <w:tmpl w:val="8A72AFA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5" w15:restartNumberingAfterBreak="0">
    <w:nsid w:val="5D6706EE"/>
    <w:multiLevelType w:val="hybridMultilevel"/>
    <w:tmpl w:val="13168B2C"/>
    <w:lvl w:ilvl="0" w:tplc="91DC465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95788D"/>
    <w:multiLevelType w:val="hybridMultilevel"/>
    <w:tmpl w:val="3482B4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63AA1D8"/>
    <w:multiLevelType w:val="hybridMultilevel"/>
    <w:tmpl w:val="736C548A"/>
    <w:lvl w:ilvl="0" w:tplc="95E88D92">
      <w:start w:val="1"/>
      <w:numFmt w:val="bullet"/>
      <w:lvlText w:val=""/>
      <w:lvlJc w:val="left"/>
      <w:pPr>
        <w:ind w:left="720" w:hanging="360"/>
      </w:pPr>
      <w:rPr>
        <w:rFonts w:ascii="Symbol" w:hAnsi="Symbol" w:hint="default"/>
      </w:rPr>
    </w:lvl>
    <w:lvl w:ilvl="1" w:tplc="934E79E2">
      <w:start w:val="1"/>
      <w:numFmt w:val="bullet"/>
      <w:lvlText w:val="o"/>
      <w:lvlJc w:val="left"/>
      <w:pPr>
        <w:ind w:left="1440" w:hanging="360"/>
      </w:pPr>
      <w:rPr>
        <w:rFonts w:ascii="Courier New" w:hAnsi="Courier New" w:hint="default"/>
      </w:rPr>
    </w:lvl>
    <w:lvl w:ilvl="2" w:tplc="547A575A">
      <w:start w:val="1"/>
      <w:numFmt w:val="bullet"/>
      <w:lvlText w:val=""/>
      <w:lvlJc w:val="left"/>
      <w:pPr>
        <w:ind w:left="2160" w:hanging="360"/>
      </w:pPr>
      <w:rPr>
        <w:rFonts w:ascii="Wingdings" w:hAnsi="Wingdings" w:hint="default"/>
      </w:rPr>
    </w:lvl>
    <w:lvl w:ilvl="3" w:tplc="ACB8A93E">
      <w:start w:val="1"/>
      <w:numFmt w:val="bullet"/>
      <w:lvlText w:val=""/>
      <w:lvlJc w:val="left"/>
      <w:pPr>
        <w:ind w:left="2880" w:hanging="360"/>
      </w:pPr>
      <w:rPr>
        <w:rFonts w:ascii="Symbol" w:hAnsi="Symbol" w:hint="default"/>
      </w:rPr>
    </w:lvl>
    <w:lvl w:ilvl="4" w:tplc="203294E2">
      <w:start w:val="1"/>
      <w:numFmt w:val="bullet"/>
      <w:lvlText w:val="o"/>
      <w:lvlJc w:val="left"/>
      <w:pPr>
        <w:ind w:left="3600" w:hanging="360"/>
      </w:pPr>
      <w:rPr>
        <w:rFonts w:ascii="Courier New" w:hAnsi="Courier New" w:hint="default"/>
      </w:rPr>
    </w:lvl>
    <w:lvl w:ilvl="5" w:tplc="417A7498">
      <w:start w:val="1"/>
      <w:numFmt w:val="bullet"/>
      <w:lvlText w:val=""/>
      <w:lvlJc w:val="left"/>
      <w:pPr>
        <w:ind w:left="4320" w:hanging="360"/>
      </w:pPr>
      <w:rPr>
        <w:rFonts w:ascii="Wingdings" w:hAnsi="Wingdings" w:hint="default"/>
      </w:rPr>
    </w:lvl>
    <w:lvl w:ilvl="6" w:tplc="4D0C2154">
      <w:start w:val="1"/>
      <w:numFmt w:val="bullet"/>
      <w:lvlText w:val=""/>
      <w:lvlJc w:val="left"/>
      <w:pPr>
        <w:ind w:left="5040" w:hanging="360"/>
      </w:pPr>
      <w:rPr>
        <w:rFonts w:ascii="Symbol" w:hAnsi="Symbol" w:hint="default"/>
      </w:rPr>
    </w:lvl>
    <w:lvl w:ilvl="7" w:tplc="0BFE5FDE">
      <w:start w:val="1"/>
      <w:numFmt w:val="bullet"/>
      <w:lvlText w:val="o"/>
      <w:lvlJc w:val="left"/>
      <w:pPr>
        <w:ind w:left="5760" w:hanging="360"/>
      </w:pPr>
      <w:rPr>
        <w:rFonts w:ascii="Courier New" w:hAnsi="Courier New" w:hint="default"/>
      </w:rPr>
    </w:lvl>
    <w:lvl w:ilvl="8" w:tplc="5AA00C4C">
      <w:start w:val="1"/>
      <w:numFmt w:val="bullet"/>
      <w:lvlText w:val=""/>
      <w:lvlJc w:val="left"/>
      <w:pPr>
        <w:ind w:left="6480" w:hanging="360"/>
      </w:pPr>
      <w:rPr>
        <w:rFonts w:ascii="Wingdings" w:hAnsi="Wingdings" w:hint="default"/>
      </w:rPr>
    </w:lvl>
  </w:abstractNum>
  <w:abstractNum w:abstractNumId="18" w15:restartNumberingAfterBreak="0">
    <w:nsid w:val="666505D1"/>
    <w:multiLevelType w:val="hybridMultilevel"/>
    <w:tmpl w:val="C2F0FF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FF1EC4"/>
    <w:multiLevelType w:val="hybridMultilevel"/>
    <w:tmpl w:val="118EC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C83DC7"/>
    <w:multiLevelType w:val="hybridMultilevel"/>
    <w:tmpl w:val="6706B224"/>
    <w:lvl w:ilvl="0" w:tplc="A4C6CE68">
      <w:start w:val="1"/>
      <w:numFmt w:val="bullet"/>
      <w:lvlText w:val="·"/>
      <w:lvlJc w:val="left"/>
      <w:pPr>
        <w:ind w:left="720" w:hanging="360"/>
      </w:pPr>
      <w:rPr>
        <w:rFonts w:ascii="Symbol" w:hAnsi="Symbol" w:hint="default"/>
      </w:rPr>
    </w:lvl>
    <w:lvl w:ilvl="1" w:tplc="12BC2EC4">
      <w:start w:val="1"/>
      <w:numFmt w:val="bullet"/>
      <w:lvlText w:val="o"/>
      <w:lvlJc w:val="left"/>
      <w:pPr>
        <w:ind w:left="1440" w:hanging="360"/>
      </w:pPr>
      <w:rPr>
        <w:rFonts w:ascii="Courier New" w:hAnsi="Courier New" w:hint="default"/>
      </w:rPr>
    </w:lvl>
    <w:lvl w:ilvl="2" w:tplc="9770523A">
      <w:start w:val="1"/>
      <w:numFmt w:val="bullet"/>
      <w:lvlText w:val=""/>
      <w:lvlJc w:val="left"/>
      <w:pPr>
        <w:ind w:left="2160" w:hanging="360"/>
      </w:pPr>
      <w:rPr>
        <w:rFonts w:ascii="Wingdings" w:hAnsi="Wingdings" w:hint="default"/>
      </w:rPr>
    </w:lvl>
    <w:lvl w:ilvl="3" w:tplc="E730AEE4">
      <w:start w:val="1"/>
      <w:numFmt w:val="bullet"/>
      <w:lvlText w:val=""/>
      <w:lvlJc w:val="left"/>
      <w:pPr>
        <w:ind w:left="2880" w:hanging="360"/>
      </w:pPr>
      <w:rPr>
        <w:rFonts w:ascii="Symbol" w:hAnsi="Symbol" w:hint="default"/>
      </w:rPr>
    </w:lvl>
    <w:lvl w:ilvl="4" w:tplc="00B21BC8">
      <w:start w:val="1"/>
      <w:numFmt w:val="bullet"/>
      <w:lvlText w:val="o"/>
      <w:lvlJc w:val="left"/>
      <w:pPr>
        <w:ind w:left="3600" w:hanging="360"/>
      </w:pPr>
      <w:rPr>
        <w:rFonts w:ascii="Courier New" w:hAnsi="Courier New" w:hint="default"/>
      </w:rPr>
    </w:lvl>
    <w:lvl w:ilvl="5" w:tplc="3B90625A">
      <w:start w:val="1"/>
      <w:numFmt w:val="bullet"/>
      <w:lvlText w:val=""/>
      <w:lvlJc w:val="left"/>
      <w:pPr>
        <w:ind w:left="4320" w:hanging="360"/>
      </w:pPr>
      <w:rPr>
        <w:rFonts w:ascii="Wingdings" w:hAnsi="Wingdings" w:hint="default"/>
      </w:rPr>
    </w:lvl>
    <w:lvl w:ilvl="6" w:tplc="A4F26028">
      <w:start w:val="1"/>
      <w:numFmt w:val="bullet"/>
      <w:lvlText w:val=""/>
      <w:lvlJc w:val="left"/>
      <w:pPr>
        <w:ind w:left="5040" w:hanging="360"/>
      </w:pPr>
      <w:rPr>
        <w:rFonts w:ascii="Symbol" w:hAnsi="Symbol" w:hint="default"/>
      </w:rPr>
    </w:lvl>
    <w:lvl w:ilvl="7" w:tplc="4D02B3D0">
      <w:start w:val="1"/>
      <w:numFmt w:val="bullet"/>
      <w:lvlText w:val="o"/>
      <w:lvlJc w:val="left"/>
      <w:pPr>
        <w:ind w:left="5760" w:hanging="360"/>
      </w:pPr>
      <w:rPr>
        <w:rFonts w:ascii="Courier New" w:hAnsi="Courier New" w:hint="default"/>
      </w:rPr>
    </w:lvl>
    <w:lvl w:ilvl="8" w:tplc="EAC8A03E">
      <w:start w:val="1"/>
      <w:numFmt w:val="bullet"/>
      <w:lvlText w:val=""/>
      <w:lvlJc w:val="left"/>
      <w:pPr>
        <w:ind w:left="6480" w:hanging="360"/>
      </w:pPr>
      <w:rPr>
        <w:rFonts w:ascii="Wingdings" w:hAnsi="Wingdings" w:hint="default"/>
      </w:rPr>
    </w:lvl>
  </w:abstractNum>
  <w:num w:numId="1" w16cid:durableId="2010518315">
    <w:abstractNumId w:val="11"/>
  </w:num>
  <w:num w:numId="2" w16cid:durableId="1186750179">
    <w:abstractNumId w:val="9"/>
  </w:num>
  <w:num w:numId="3" w16cid:durableId="1336758987">
    <w:abstractNumId w:val="20"/>
  </w:num>
  <w:num w:numId="4" w16cid:durableId="571352406">
    <w:abstractNumId w:val="17"/>
  </w:num>
  <w:num w:numId="5" w16cid:durableId="43021468">
    <w:abstractNumId w:val="0"/>
  </w:num>
  <w:num w:numId="6" w16cid:durableId="1272668941">
    <w:abstractNumId w:val="7"/>
  </w:num>
  <w:num w:numId="7" w16cid:durableId="698118792">
    <w:abstractNumId w:val="12"/>
  </w:num>
  <w:num w:numId="8" w16cid:durableId="1678732338">
    <w:abstractNumId w:val="10"/>
  </w:num>
  <w:num w:numId="9" w16cid:durableId="1650406727">
    <w:abstractNumId w:val="5"/>
  </w:num>
  <w:num w:numId="10" w16cid:durableId="451364849">
    <w:abstractNumId w:val="19"/>
  </w:num>
  <w:num w:numId="11" w16cid:durableId="1865098124">
    <w:abstractNumId w:val="16"/>
  </w:num>
  <w:num w:numId="12" w16cid:durableId="2058502964">
    <w:abstractNumId w:val="14"/>
  </w:num>
  <w:num w:numId="13" w16cid:durableId="585379458">
    <w:abstractNumId w:val="4"/>
  </w:num>
  <w:num w:numId="14" w16cid:durableId="530074462">
    <w:abstractNumId w:val="3"/>
  </w:num>
  <w:num w:numId="15" w16cid:durableId="129903149">
    <w:abstractNumId w:val="15"/>
  </w:num>
  <w:num w:numId="16" w16cid:durableId="1729260920">
    <w:abstractNumId w:val="2"/>
  </w:num>
  <w:num w:numId="17" w16cid:durableId="118450473">
    <w:abstractNumId w:val="1"/>
  </w:num>
  <w:num w:numId="18" w16cid:durableId="1911227777">
    <w:abstractNumId w:val="8"/>
  </w:num>
  <w:num w:numId="19" w16cid:durableId="1046878402">
    <w:abstractNumId w:val="13"/>
  </w:num>
  <w:num w:numId="20" w16cid:durableId="680469171">
    <w:abstractNumId w:val="18"/>
  </w:num>
  <w:num w:numId="21" w16cid:durableId="1416897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8164B"/>
    <w:rsid w:val="00002E96"/>
    <w:rsid w:val="00016322"/>
    <w:rsid w:val="00030D7B"/>
    <w:rsid w:val="000324C1"/>
    <w:rsid w:val="0003357F"/>
    <w:rsid w:val="00040AB4"/>
    <w:rsid w:val="000421C5"/>
    <w:rsid w:val="00042EDE"/>
    <w:rsid w:val="00044D3F"/>
    <w:rsid w:val="00076F95"/>
    <w:rsid w:val="00084E9D"/>
    <w:rsid w:val="00085B6A"/>
    <w:rsid w:val="000A5A7F"/>
    <w:rsid w:val="000B020D"/>
    <w:rsid w:val="000F5640"/>
    <w:rsid w:val="00104F1B"/>
    <w:rsid w:val="001238A7"/>
    <w:rsid w:val="00124345"/>
    <w:rsid w:val="0012456F"/>
    <w:rsid w:val="00132BEC"/>
    <w:rsid w:val="001606F5"/>
    <w:rsid w:val="0018164B"/>
    <w:rsid w:val="001914FB"/>
    <w:rsid w:val="001C5849"/>
    <w:rsid w:val="001E4471"/>
    <w:rsid w:val="001E6669"/>
    <w:rsid w:val="002023D6"/>
    <w:rsid w:val="00202FB4"/>
    <w:rsid w:val="00203740"/>
    <w:rsid w:val="0023061D"/>
    <w:rsid w:val="00245005"/>
    <w:rsid w:val="0024666E"/>
    <w:rsid w:val="002514B6"/>
    <w:rsid w:val="00252C60"/>
    <w:rsid w:val="00262443"/>
    <w:rsid w:val="00265BB5"/>
    <w:rsid w:val="0027603B"/>
    <w:rsid w:val="002774FA"/>
    <w:rsid w:val="00284496"/>
    <w:rsid w:val="00294FAD"/>
    <w:rsid w:val="002A52DA"/>
    <w:rsid w:val="002B3260"/>
    <w:rsid w:val="002B6ADB"/>
    <w:rsid w:val="002D012C"/>
    <w:rsid w:val="002D239F"/>
    <w:rsid w:val="002D61C9"/>
    <w:rsid w:val="002E2F6A"/>
    <w:rsid w:val="002F3533"/>
    <w:rsid w:val="002F491A"/>
    <w:rsid w:val="002F78C3"/>
    <w:rsid w:val="00300C9E"/>
    <w:rsid w:val="00333E0A"/>
    <w:rsid w:val="00336000"/>
    <w:rsid w:val="00342139"/>
    <w:rsid w:val="0036407C"/>
    <w:rsid w:val="00364085"/>
    <w:rsid w:val="0037479E"/>
    <w:rsid w:val="003B23B5"/>
    <w:rsid w:val="003C789D"/>
    <w:rsid w:val="0040180A"/>
    <w:rsid w:val="00402F1D"/>
    <w:rsid w:val="00415F86"/>
    <w:rsid w:val="00423365"/>
    <w:rsid w:val="00425B2F"/>
    <w:rsid w:val="004324F8"/>
    <w:rsid w:val="00432AE8"/>
    <w:rsid w:val="004344D4"/>
    <w:rsid w:val="00451DFF"/>
    <w:rsid w:val="00453267"/>
    <w:rsid w:val="004739FB"/>
    <w:rsid w:val="00482E9F"/>
    <w:rsid w:val="00485E2C"/>
    <w:rsid w:val="004A6C6A"/>
    <w:rsid w:val="004B2AD3"/>
    <w:rsid w:val="004E6BCC"/>
    <w:rsid w:val="004F31C8"/>
    <w:rsid w:val="00500CA1"/>
    <w:rsid w:val="00510D9E"/>
    <w:rsid w:val="00516ADE"/>
    <w:rsid w:val="00534C2F"/>
    <w:rsid w:val="0054736E"/>
    <w:rsid w:val="0056290F"/>
    <w:rsid w:val="00573FD4"/>
    <w:rsid w:val="0057518F"/>
    <w:rsid w:val="00593658"/>
    <w:rsid w:val="005B424A"/>
    <w:rsid w:val="005C03BE"/>
    <w:rsid w:val="005E3BA2"/>
    <w:rsid w:val="005F2857"/>
    <w:rsid w:val="005F646F"/>
    <w:rsid w:val="00604ADE"/>
    <w:rsid w:val="00607E3A"/>
    <w:rsid w:val="0061299F"/>
    <w:rsid w:val="0061306E"/>
    <w:rsid w:val="00613427"/>
    <w:rsid w:val="006159E2"/>
    <w:rsid w:val="006332DD"/>
    <w:rsid w:val="0063670D"/>
    <w:rsid w:val="0064511B"/>
    <w:rsid w:val="0065120B"/>
    <w:rsid w:val="00682BD9"/>
    <w:rsid w:val="006B4346"/>
    <w:rsid w:val="006C1C9E"/>
    <w:rsid w:val="006D11E8"/>
    <w:rsid w:val="006F4B12"/>
    <w:rsid w:val="007005C8"/>
    <w:rsid w:val="00712349"/>
    <w:rsid w:val="007427E9"/>
    <w:rsid w:val="00755645"/>
    <w:rsid w:val="00760379"/>
    <w:rsid w:val="00776C03"/>
    <w:rsid w:val="00782C3B"/>
    <w:rsid w:val="0079452B"/>
    <w:rsid w:val="007C11AB"/>
    <w:rsid w:val="007D37A4"/>
    <w:rsid w:val="007D4D8B"/>
    <w:rsid w:val="007E0ACD"/>
    <w:rsid w:val="007F5DEE"/>
    <w:rsid w:val="00800A6F"/>
    <w:rsid w:val="00801509"/>
    <w:rsid w:val="00813739"/>
    <w:rsid w:val="00813DAD"/>
    <w:rsid w:val="00822661"/>
    <w:rsid w:val="00835894"/>
    <w:rsid w:val="00850468"/>
    <w:rsid w:val="00865FC3"/>
    <w:rsid w:val="008766C3"/>
    <w:rsid w:val="008807CB"/>
    <w:rsid w:val="00893CF6"/>
    <w:rsid w:val="008A0729"/>
    <w:rsid w:val="008A5ED3"/>
    <w:rsid w:val="008B0C26"/>
    <w:rsid w:val="008B3505"/>
    <w:rsid w:val="008B4F80"/>
    <w:rsid w:val="008B6D8F"/>
    <w:rsid w:val="008C1819"/>
    <w:rsid w:val="008D178E"/>
    <w:rsid w:val="008F0963"/>
    <w:rsid w:val="00910A10"/>
    <w:rsid w:val="00914DF9"/>
    <w:rsid w:val="00921DBB"/>
    <w:rsid w:val="00924C40"/>
    <w:rsid w:val="009502D9"/>
    <w:rsid w:val="00987CA2"/>
    <w:rsid w:val="009975CD"/>
    <w:rsid w:val="009A7048"/>
    <w:rsid w:val="009B3AB2"/>
    <w:rsid w:val="009D1E98"/>
    <w:rsid w:val="009E6131"/>
    <w:rsid w:val="009F26F9"/>
    <w:rsid w:val="00A0372A"/>
    <w:rsid w:val="00A04EF9"/>
    <w:rsid w:val="00A05516"/>
    <w:rsid w:val="00A1167A"/>
    <w:rsid w:val="00A265C3"/>
    <w:rsid w:val="00A34B45"/>
    <w:rsid w:val="00A3574B"/>
    <w:rsid w:val="00A367A2"/>
    <w:rsid w:val="00A43777"/>
    <w:rsid w:val="00A45E03"/>
    <w:rsid w:val="00A61D21"/>
    <w:rsid w:val="00A651F6"/>
    <w:rsid w:val="00A66C5A"/>
    <w:rsid w:val="00A76401"/>
    <w:rsid w:val="00A7654E"/>
    <w:rsid w:val="00A83F96"/>
    <w:rsid w:val="00A87EB8"/>
    <w:rsid w:val="00A90AED"/>
    <w:rsid w:val="00AB3119"/>
    <w:rsid w:val="00B049A6"/>
    <w:rsid w:val="00B27596"/>
    <w:rsid w:val="00B40700"/>
    <w:rsid w:val="00B47A6A"/>
    <w:rsid w:val="00B83A75"/>
    <w:rsid w:val="00BA599A"/>
    <w:rsid w:val="00BB7707"/>
    <w:rsid w:val="00BC1C11"/>
    <w:rsid w:val="00BD16EA"/>
    <w:rsid w:val="00C02607"/>
    <w:rsid w:val="00C03A63"/>
    <w:rsid w:val="00C07298"/>
    <w:rsid w:val="00C0753E"/>
    <w:rsid w:val="00C473EE"/>
    <w:rsid w:val="00C54D61"/>
    <w:rsid w:val="00C84741"/>
    <w:rsid w:val="00C90407"/>
    <w:rsid w:val="00CA3079"/>
    <w:rsid w:val="00CA6716"/>
    <w:rsid w:val="00CC798C"/>
    <w:rsid w:val="00CE1B4F"/>
    <w:rsid w:val="00CE1BF7"/>
    <w:rsid w:val="00CE2231"/>
    <w:rsid w:val="00D14ED5"/>
    <w:rsid w:val="00D25A3E"/>
    <w:rsid w:val="00D3558E"/>
    <w:rsid w:val="00D35F8C"/>
    <w:rsid w:val="00D51D0F"/>
    <w:rsid w:val="00D5444A"/>
    <w:rsid w:val="00D704AD"/>
    <w:rsid w:val="00D860F9"/>
    <w:rsid w:val="00D916CB"/>
    <w:rsid w:val="00D94C14"/>
    <w:rsid w:val="00D96401"/>
    <w:rsid w:val="00DA076E"/>
    <w:rsid w:val="00DA6448"/>
    <w:rsid w:val="00DA6C7D"/>
    <w:rsid w:val="00DB15D2"/>
    <w:rsid w:val="00DB5C28"/>
    <w:rsid w:val="00DC219A"/>
    <w:rsid w:val="00DD31A4"/>
    <w:rsid w:val="00DD754E"/>
    <w:rsid w:val="00DF0035"/>
    <w:rsid w:val="00DF0F71"/>
    <w:rsid w:val="00DF7377"/>
    <w:rsid w:val="00E225BD"/>
    <w:rsid w:val="00E32E96"/>
    <w:rsid w:val="00E358FE"/>
    <w:rsid w:val="00E36A4E"/>
    <w:rsid w:val="00EA3D1A"/>
    <w:rsid w:val="00ED2B4E"/>
    <w:rsid w:val="00ED7AA5"/>
    <w:rsid w:val="00EE5176"/>
    <w:rsid w:val="00EF3680"/>
    <w:rsid w:val="00F04C73"/>
    <w:rsid w:val="00F11857"/>
    <w:rsid w:val="00F135F3"/>
    <w:rsid w:val="00F56170"/>
    <w:rsid w:val="00F60095"/>
    <w:rsid w:val="00F66DF4"/>
    <w:rsid w:val="00F872BD"/>
    <w:rsid w:val="00F9597C"/>
    <w:rsid w:val="00FA0FC6"/>
    <w:rsid w:val="00FA19A0"/>
    <w:rsid w:val="00FC106E"/>
    <w:rsid w:val="00FC1940"/>
    <w:rsid w:val="00FE7EB9"/>
    <w:rsid w:val="01572BC6"/>
    <w:rsid w:val="03665EFE"/>
    <w:rsid w:val="06904EB1"/>
    <w:rsid w:val="0984CC81"/>
    <w:rsid w:val="0BFC1B6A"/>
    <w:rsid w:val="0F11F46A"/>
    <w:rsid w:val="1168FA6D"/>
    <w:rsid w:val="1176B609"/>
    <w:rsid w:val="133D0347"/>
    <w:rsid w:val="1EAA93F4"/>
    <w:rsid w:val="1EC057BA"/>
    <w:rsid w:val="1FD8416D"/>
    <w:rsid w:val="22AB19A3"/>
    <w:rsid w:val="26B203D9"/>
    <w:rsid w:val="279592AC"/>
    <w:rsid w:val="29E9A49B"/>
    <w:rsid w:val="2A6C49AF"/>
    <w:rsid w:val="2ACD336E"/>
    <w:rsid w:val="2C6903CF"/>
    <w:rsid w:val="2E04D430"/>
    <w:rsid w:val="311F7A7E"/>
    <w:rsid w:val="330D6231"/>
    <w:rsid w:val="33A1E578"/>
    <w:rsid w:val="34B40B9C"/>
    <w:rsid w:val="3A8EBF2E"/>
    <w:rsid w:val="3ED0DC70"/>
    <w:rsid w:val="4456F69D"/>
    <w:rsid w:val="50D7C825"/>
    <w:rsid w:val="551E6F1B"/>
    <w:rsid w:val="5F34B425"/>
    <w:rsid w:val="62BD1711"/>
    <w:rsid w:val="6BB58B18"/>
    <w:rsid w:val="6C2F183D"/>
    <w:rsid w:val="6D953D21"/>
    <w:rsid w:val="6E4EC3CA"/>
    <w:rsid w:val="6EED2BDA"/>
    <w:rsid w:val="6F36F737"/>
    <w:rsid w:val="701A860A"/>
    <w:rsid w:val="726ED562"/>
    <w:rsid w:val="73A774A0"/>
    <w:rsid w:val="73F4E1FD"/>
    <w:rsid w:val="7BF64E84"/>
    <w:rsid w:val="7C654F9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eastAsia="Times New Roman" w:cs="Times New Roman"/>
    </w:rPr>
  </w:style>
  <w:style w:type="paragraph" w:styleId="Nagwek5">
    <w:name w:val="heading 5"/>
    <w:basedOn w:val="Normalny"/>
    <w:next w:val="Normalny"/>
    <w:link w:val="Nagwek5Znak"/>
    <w:uiPriority w:val="99"/>
    <w:qFormat/>
    <w:rsid w:val="0054736E"/>
    <w:pPr>
      <w:tabs>
        <w:tab w:val="num" w:pos="1008"/>
      </w:tabs>
      <w:suppressAutoHyphens w:val="0"/>
      <w:spacing w:before="240" w:after="60" w:line="360" w:lineRule="auto"/>
      <w:ind w:left="1008" w:hanging="1008"/>
      <w:jc w:val="both"/>
      <w:outlineLvl w:val="4"/>
    </w:pPr>
    <w:rPr>
      <w:rFonts w:ascii="Calibri" w:eastAsiaTheme="minorHAnsi" w:hAnsi="Calibri" w:cstheme="minorBidi"/>
      <w:b/>
      <w:bCs/>
      <w:i/>
      <w:iCs/>
      <w:sz w:val="26"/>
      <w:szCs w:val="26"/>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D34D77"/>
    <w:rPr>
      <w:rFonts w:ascii="Segoe UI" w:eastAsia="Times New Roman" w:hAnsi="Segoe UI" w:cs="Segoe UI"/>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EA548A"/>
    <w:rPr>
      <w:rFonts w:ascii="Calibri" w:eastAsia="Times New Roman" w:hAnsi="Calibri" w:cs="Times New Roman"/>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qFormat/>
    <w:rsid w:val="004E4B2F"/>
    <w:rPr>
      <w:rFonts w:ascii="Arial" w:eastAsia="Times New Roman" w:hAnsi="Arial" w:cs="Tahoma"/>
      <w:sz w:val="16"/>
      <w:szCs w:val="20"/>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sid w:val="004E4B2F"/>
    <w:rPr>
      <w:rFonts w:ascii="Arial" w:hAnsi="Arial" w:cs="Times New Roman"/>
      <w:sz w:val="16"/>
      <w:shd w:val="clear" w:color="auto" w:fill="auto"/>
      <w:vertAlign w:val="superscript"/>
    </w:rPr>
  </w:style>
  <w:style w:type="character" w:customStyle="1" w:styleId="czeinternetowe">
    <w:name w:val="Łącze internetowe"/>
    <w:basedOn w:val="Domylnaczcionkaakapitu"/>
    <w:uiPriority w:val="99"/>
    <w:unhideWhenUsed/>
    <w:rsid w:val="00D53562"/>
    <w:rPr>
      <w:color w:val="0563C1" w:themeColor="hyperlink"/>
      <w:u w:val="single"/>
    </w:rPr>
  </w:style>
  <w:style w:type="character" w:customStyle="1" w:styleId="TekstpodstawowyZnak">
    <w:name w:val="Tekst podstawowy Znak"/>
    <w:basedOn w:val="Domylnaczcionkaakapitu"/>
    <w:link w:val="Tekstpodstawowy"/>
    <w:uiPriority w:val="99"/>
    <w:qFormat/>
    <w:rsid w:val="00D53562"/>
    <w:rPr>
      <w:rFonts w:ascii="Times New Roman" w:eastAsia="Calibri" w:hAnsi="Times New Roman" w:cs="Times New Roman"/>
      <w:sz w:val="24"/>
      <w:szCs w:val="20"/>
      <w:lang w:eastAsia="pl-PL" w:bidi="pl-PL"/>
    </w:rPr>
  </w:style>
  <w:style w:type="character" w:customStyle="1" w:styleId="TekstkomentarzaZnak">
    <w:name w:val="Tekst komentarza Znak"/>
    <w:basedOn w:val="Domylnaczcionkaakapitu"/>
    <w:link w:val="Tekstkomentarza"/>
    <w:uiPriority w:val="99"/>
    <w:qFormat/>
    <w:rsid w:val="0049657C"/>
    <w:rPr>
      <w:rFonts w:ascii="Calibri" w:eastAsia="Times New Roman" w:hAnsi="Calibri" w:cs="Times New Roman"/>
      <w:sz w:val="20"/>
      <w:szCs w:val="20"/>
    </w:rPr>
  </w:style>
  <w:style w:type="character" w:styleId="Odwoaniedokomentarza">
    <w:name w:val="annotation reference"/>
    <w:semiHidden/>
    <w:unhideWhenUsed/>
    <w:qFormat/>
    <w:rsid w:val="0049657C"/>
    <w:rPr>
      <w:rFonts w:ascii="Times New Roman" w:hAnsi="Times New Roman" w:cs="Times New Roman"/>
      <w:sz w:val="16"/>
    </w:rPr>
  </w:style>
  <w:style w:type="character" w:customStyle="1" w:styleId="NagwekZnak">
    <w:name w:val="Nagłówek Znak"/>
    <w:basedOn w:val="Domylnaczcionkaakapitu"/>
    <w:link w:val="Nagwek"/>
    <w:uiPriority w:val="99"/>
    <w:qFormat/>
    <w:rsid w:val="00BD2725"/>
    <w:rPr>
      <w:rFonts w:ascii="Calibri" w:eastAsia="Times New Roman" w:hAnsi="Calibri" w:cs="Times New Roman"/>
    </w:rPr>
  </w:style>
  <w:style w:type="character" w:customStyle="1" w:styleId="StopkaZnak">
    <w:name w:val="Stopka Znak"/>
    <w:basedOn w:val="Domylnaczcionkaakapitu"/>
    <w:link w:val="Stopka"/>
    <w:uiPriority w:val="99"/>
    <w:qFormat/>
    <w:rsid w:val="00BD2725"/>
    <w:rPr>
      <w:rFonts w:ascii="Calibri" w:eastAsia="Times New Roman" w:hAnsi="Calibri" w:cs="Times New Roman"/>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Odwiedzoneczeinternetowe">
    <w:name w:val="Odwiedzone łącze internetowe"/>
    <w:basedOn w:val="Domylnaczcionkaakapitu"/>
    <w:rPr>
      <w:color w:val="954F72" w:themeColor="followedHyperlink"/>
      <w:u w:val="single"/>
    </w:rPr>
  </w:style>
  <w:style w:type="paragraph" w:styleId="Nagwek">
    <w:name w:val="header"/>
    <w:basedOn w:val="Normalny"/>
    <w:next w:val="Tekstpodstawowy"/>
    <w:link w:val="NagwekZnak"/>
    <w:uiPriority w:val="99"/>
    <w:unhideWhenUsed/>
    <w:rsid w:val="00BD2725"/>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D53562"/>
    <w:pPr>
      <w:spacing w:before="120" w:after="120" w:line="240" w:lineRule="auto"/>
      <w:jc w:val="both"/>
    </w:pPr>
    <w:rPr>
      <w:rFonts w:ascii="Times New Roman" w:eastAsia="Calibri" w:hAnsi="Times New Roman"/>
      <w:sz w:val="24"/>
      <w:szCs w:val="20"/>
      <w:lang w:eastAsia="pl-PL" w:bidi="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D34D77"/>
    <w:pPr>
      <w:spacing w:after="0" w:line="240" w:lineRule="auto"/>
    </w:pPr>
    <w:rPr>
      <w:rFonts w:ascii="Segoe UI" w:hAnsi="Segoe UI" w:cs="Segoe UI"/>
      <w:sz w:val="18"/>
      <w:szCs w:val="18"/>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935F8"/>
    <w:pPr>
      <w:ind w:left="720"/>
      <w:contextualSpacing/>
    </w:p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qFormat/>
    <w:rsid w:val="004E4B2F"/>
    <w:pPr>
      <w:spacing w:after="0" w:line="240" w:lineRule="auto"/>
    </w:pPr>
    <w:rPr>
      <w:rFonts w:ascii="Arial" w:hAnsi="Arial" w:cs="Tahoma"/>
      <w:sz w:val="16"/>
      <w:szCs w:val="20"/>
    </w:rPr>
  </w:style>
  <w:style w:type="paragraph" w:styleId="Listapunktowana4">
    <w:name w:val="List Bullet 4"/>
    <w:basedOn w:val="Normalny"/>
    <w:uiPriority w:val="99"/>
    <w:unhideWhenUsed/>
    <w:qFormat/>
    <w:rsid w:val="00D53562"/>
    <w:pPr>
      <w:spacing w:before="120" w:after="120" w:line="240" w:lineRule="auto"/>
      <w:ind w:left="849" w:hanging="283"/>
      <w:contextualSpacing/>
      <w:jc w:val="both"/>
    </w:pPr>
    <w:rPr>
      <w:rFonts w:ascii="Times New Roman" w:eastAsia="Calibri" w:hAnsi="Times New Roman"/>
      <w:sz w:val="24"/>
      <w:szCs w:val="20"/>
      <w:lang w:eastAsia="pl-PL" w:bidi="pl-PL"/>
    </w:rPr>
  </w:style>
  <w:style w:type="paragraph" w:styleId="Tekstkomentarza">
    <w:name w:val="annotation text"/>
    <w:basedOn w:val="Normalny"/>
    <w:link w:val="TekstkomentarzaZnak"/>
    <w:uiPriority w:val="99"/>
    <w:unhideWhenUsed/>
    <w:qFormat/>
    <w:rsid w:val="0049657C"/>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D2725"/>
    <w:pPr>
      <w:tabs>
        <w:tab w:val="center" w:pos="4536"/>
        <w:tab w:val="right" w:pos="9072"/>
      </w:tabs>
      <w:spacing w:after="0" w:line="240" w:lineRule="auto"/>
    </w:pPr>
  </w:style>
  <w:style w:type="paragraph" w:styleId="Poprawka">
    <w:name w:val="Revision"/>
    <w:uiPriority w:val="99"/>
    <w:semiHidden/>
    <w:qFormat/>
    <w:rsid w:val="00BD2725"/>
    <w:rPr>
      <w:rFonts w:eastAsia="Times New Roman" w:cs="Times New Roman"/>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basedOn w:val="Domylnaczcionkaakapitu"/>
    <w:unhideWhenUsed/>
    <w:rsid w:val="00A90AED"/>
    <w:rPr>
      <w:vertAlign w:val="superscript"/>
    </w:rPr>
  </w:style>
  <w:style w:type="character" w:customStyle="1" w:styleId="Nagwek5Znak">
    <w:name w:val="Nagłówek 5 Znak"/>
    <w:basedOn w:val="Domylnaczcionkaakapitu"/>
    <w:link w:val="Nagwek5"/>
    <w:uiPriority w:val="99"/>
    <w:rsid w:val="0054736E"/>
    <w:rPr>
      <w:rFonts w:ascii="Calibri" w:hAnsi="Calibri"/>
      <w:b/>
      <w:bCs/>
      <w:i/>
      <w:iCs/>
      <w:sz w:val="26"/>
      <w:szCs w:val="26"/>
      <w:lang w:val="en-GB"/>
    </w:rPr>
  </w:style>
  <w:style w:type="paragraph" w:styleId="Tematkomentarza">
    <w:name w:val="annotation subject"/>
    <w:basedOn w:val="Tekstkomentarza"/>
    <w:next w:val="Tekstkomentarza"/>
    <w:link w:val="TematkomentarzaZnak"/>
    <w:uiPriority w:val="99"/>
    <w:semiHidden/>
    <w:unhideWhenUsed/>
    <w:rsid w:val="00423365"/>
    <w:pPr>
      <w:spacing w:line="240" w:lineRule="auto"/>
    </w:pPr>
    <w:rPr>
      <w:b/>
      <w:bCs/>
    </w:rPr>
  </w:style>
  <w:style w:type="character" w:customStyle="1" w:styleId="TematkomentarzaZnak">
    <w:name w:val="Temat komentarza Znak"/>
    <w:basedOn w:val="TekstkomentarzaZnak"/>
    <w:link w:val="Tematkomentarza"/>
    <w:uiPriority w:val="99"/>
    <w:semiHidden/>
    <w:rsid w:val="00423365"/>
    <w:rPr>
      <w:rFonts w:ascii="Calibri" w:eastAsia="Times New Roman" w:hAnsi="Calibri" w:cs="Times New Roman"/>
      <w:b/>
      <w:bCs/>
      <w:sz w:val="20"/>
      <w:szCs w:val="20"/>
    </w:rPr>
  </w:style>
  <w:style w:type="character" w:styleId="Hipercze">
    <w:name w:val="Hyperlink"/>
    <w:basedOn w:val="Domylnaczcionkaakapitu"/>
    <w:uiPriority w:val="99"/>
    <w:unhideWhenUsed/>
    <w:rsid w:val="009F26F9"/>
    <w:rPr>
      <w:color w:val="0563C1" w:themeColor="hyperlink"/>
      <w:u w:val="single"/>
    </w:rPr>
  </w:style>
  <w:style w:type="character" w:styleId="UyteHipercze">
    <w:name w:val="FollowedHyperlink"/>
    <w:basedOn w:val="Domylnaczcionkaakapitu"/>
    <w:uiPriority w:val="99"/>
    <w:semiHidden/>
    <w:unhideWhenUsed/>
    <w:rsid w:val="0012456F"/>
    <w:rPr>
      <w:color w:val="954F72" w:themeColor="followedHyperlink"/>
      <w:u w:val="single"/>
    </w:rPr>
  </w:style>
  <w:style w:type="paragraph" w:customStyle="1" w:styleId="Default">
    <w:name w:val="Default"/>
    <w:rsid w:val="00FA19A0"/>
    <w:pPr>
      <w:suppressAutoHyphens w:val="0"/>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ations.europa.eu/resource/cellar/f277232a-699e-11e3-8e4e-01aa75ed71a1.0019.01/DOC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tis.org/sites/default/files/sump_guidelines_2019_interactive_document_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infrastruktura/transeuropejska-siec-transportowa-t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ltis.org/sites/default/files/sump_guidelines_2019_interactive_document_1.pdf" TargetMode="External"/><Relationship Id="rId4" Type="http://schemas.openxmlformats.org/officeDocument/2006/relationships/settings" Target="settings.xml"/><Relationship Id="rId9" Type="http://schemas.openxmlformats.org/officeDocument/2006/relationships/hyperlink" Target="https://bip.opolskie.pl/2023/02/uchwala-nr-8745-2023-zarzadu-wojewodztwa-opolskiego-z-dnia-30-stycznia-2023-roku-w-sprawie-okreslenia-miejskich-obszarow-funkcjonalnych-miast-powiatowych-w-wojewodztwie-opolskim-i-ich-granic/"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3203-3203-4895-8108-35B5C0D0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5119</Words>
  <Characters>30720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2023-08-02T13:35:00Z</dcterms:created>
  <dcterms:modified xsi:type="dcterms:W3CDTF">2023-10-05T09:46:00Z</dcterms:modified>
  <dc:language/>
</cp:coreProperties>
</file>