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8AE0" w14:textId="50C93F67" w:rsidR="0079373E" w:rsidRPr="00BD7F94" w:rsidRDefault="0079373E" w:rsidP="0079373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34</w:t>
      </w:r>
      <w:bookmarkStart w:id="0" w:name="_GoBack"/>
      <w:bookmarkEnd w:id="0"/>
    </w:p>
    <w:p w14:paraId="23E0B56A" w14:textId="77777777" w:rsidR="0079373E" w:rsidRPr="00BD7F94" w:rsidRDefault="0079373E" w:rsidP="0079373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KM FEO 2021-2027</w:t>
      </w:r>
    </w:p>
    <w:p w14:paraId="7E9C734E" w14:textId="77777777" w:rsidR="0079373E" w:rsidRPr="00BD7F94" w:rsidRDefault="0079373E" w:rsidP="0079373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11 maja</w:t>
      </w:r>
      <w:r w:rsidRPr="00BD7F94">
        <w:rPr>
          <w:rFonts w:cs="Calibri"/>
          <w:sz w:val="20"/>
          <w:szCs w:val="20"/>
        </w:rPr>
        <w:t xml:space="preserve"> 2023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38A5E166" w14:textId="77777777" w:rsidR="00472964" w:rsidRPr="00153376" w:rsidRDefault="00472964" w:rsidP="00472964">
      <w:pPr>
        <w:rPr>
          <w:b/>
          <w:color w:val="000099"/>
          <w:sz w:val="36"/>
          <w:szCs w:val="36"/>
        </w:rPr>
      </w:pPr>
      <w:r w:rsidRPr="00153376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4EC4E6DD" w14:textId="77777777" w:rsidR="00472964" w:rsidRPr="00875468" w:rsidRDefault="00472964" w:rsidP="00472964">
      <w:pPr>
        <w:rPr>
          <w:b/>
          <w:color w:val="000099"/>
          <w:sz w:val="36"/>
          <w:szCs w:val="36"/>
        </w:rPr>
      </w:pPr>
    </w:p>
    <w:p w14:paraId="72D979D5" w14:textId="77777777" w:rsidR="00472964" w:rsidRPr="00875468" w:rsidRDefault="00472964" w:rsidP="00472964">
      <w:pPr>
        <w:rPr>
          <w:b/>
          <w:color w:val="000099"/>
          <w:sz w:val="36"/>
          <w:szCs w:val="36"/>
        </w:rPr>
      </w:pPr>
      <w:r w:rsidRPr="00875468">
        <w:rPr>
          <w:b/>
          <w:color w:val="000099"/>
          <w:sz w:val="36"/>
          <w:szCs w:val="36"/>
        </w:rPr>
        <w:t xml:space="preserve">DZIAŁANIE </w:t>
      </w:r>
      <w:r w:rsidRPr="00935696">
        <w:rPr>
          <w:b/>
          <w:color w:val="000099"/>
          <w:sz w:val="36"/>
          <w:szCs w:val="36"/>
        </w:rPr>
        <w:t>1.10 Programy rozwojowe dla MŚP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1E690E89" w14:textId="353C6FAF" w:rsidR="00745059" w:rsidRDefault="00DB38DD" w:rsidP="0079373E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KRYTERIA MERYTORYCZNE SZCZEGÓŁOWE</w:t>
      </w:r>
    </w:p>
    <w:p w14:paraId="3F5F7151" w14:textId="77777777" w:rsidR="000167EE" w:rsidRDefault="00745059" w:rsidP="005B4AD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2023 r.</w:t>
      </w:r>
    </w:p>
    <w:p w14:paraId="6A956C08" w14:textId="77777777" w:rsidR="0079373E" w:rsidRDefault="0079373E" w:rsidP="005B4ADA">
      <w:pPr>
        <w:rPr>
          <w:b/>
          <w:color w:val="000099"/>
          <w:sz w:val="36"/>
          <w:szCs w:val="36"/>
        </w:rPr>
      </w:pPr>
    </w:p>
    <w:p w14:paraId="5737197C" w14:textId="77777777" w:rsidR="00090BF6" w:rsidRDefault="00090BF6" w:rsidP="000167EE">
      <w:pPr>
        <w:rPr>
          <w:b/>
          <w:color w:val="000099"/>
          <w:sz w:val="36"/>
          <w:szCs w:val="36"/>
        </w:rPr>
      </w:pPr>
    </w:p>
    <w:tbl>
      <w:tblPr>
        <w:tblW w:w="5622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12305"/>
      </w:tblGrid>
      <w:tr w:rsidR="00090BF6" w:rsidRPr="0078417B" w14:paraId="22EFA43C" w14:textId="77777777" w:rsidTr="00A50A26">
        <w:trPr>
          <w:trHeight w:val="595"/>
        </w:trPr>
        <w:tc>
          <w:tcPr>
            <w:tcW w:w="1090" w:type="pct"/>
            <w:shd w:val="clear" w:color="auto" w:fill="D9D9D9"/>
            <w:noWrap/>
            <w:vAlign w:val="center"/>
          </w:tcPr>
          <w:p w14:paraId="1C1319DF" w14:textId="77777777" w:rsidR="00090BF6" w:rsidRPr="001015B8" w:rsidRDefault="00090BF6" w:rsidP="00731C75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10" w:type="pct"/>
            <w:shd w:val="clear" w:color="auto" w:fill="D9D9D9"/>
            <w:vAlign w:val="center"/>
          </w:tcPr>
          <w:p w14:paraId="5E126474" w14:textId="77777777" w:rsidR="00472964" w:rsidRPr="00472964" w:rsidRDefault="00472964" w:rsidP="00472964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472964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  <w:p w14:paraId="23D44F37" w14:textId="34347008" w:rsidR="00090BF6" w:rsidRPr="0078417B" w:rsidRDefault="00090BF6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</w:p>
        </w:tc>
      </w:tr>
      <w:tr w:rsidR="00090BF6" w:rsidRPr="00DB38DD" w14:paraId="3BE0E947" w14:textId="77777777" w:rsidTr="00A50A26">
        <w:trPr>
          <w:trHeight w:val="595"/>
        </w:trPr>
        <w:tc>
          <w:tcPr>
            <w:tcW w:w="1090" w:type="pct"/>
            <w:shd w:val="clear" w:color="auto" w:fill="D9D9D9"/>
            <w:noWrap/>
            <w:vAlign w:val="center"/>
          </w:tcPr>
          <w:p w14:paraId="5E7C4E90" w14:textId="77777777" w:rsidR="00090BF6" w:rsidRPr="0078417B" w:rsidRDefault="00090BF6" w:rsidP="00731C75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10" w:type="pct"/>
            <w:shd w:val="clear" w:color="auto" w:fill="D9D9D9"/>
            <w:vAlign w:val="center"/>
          </w:tcPr>
          <w:p w14:paraId="61DED010" w14:textId="19503D60" w:rsidR="00090BF6" w:rsidRPr="00DB38DD" w:rsidRDefault="00472964" w:rsidP="00731C75">
            <w:pPr>
              <w:spacing w:after="0"/>
              <w:rPr>
                <w:b/>
                <w:bCs/>
                <w:color w:val="000099"/>
              </w:rPr>
            </w:pPr>
            <w:r w:rsidRPr="00472964">
              <w:rPr>
                <w:b/>
                <w:bCs/>
                <w:color w:val="000099"/>
              </w:rPr>
              <w:t>Programy rozwojowe dla MŚP</w:t>
            </w:r>
          </w:p>
        </w:tc>
      </w:tr>
      <w:tr w:rsidR="00090BF6" w14:paraId="5BB7C34D" w14:textId="77777777" w:rsidTr="00A50A26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3E621F1C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5550589A" w14:textId="77777777" w:rsidR="00090BF6" w:rsidRPr="00A63977" w:rsidRDefault="00090BF6" w:rsidP="00731C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263F0BE3" w14:textId="0368AA2E" w:rsidR="00090BF6" w:rsidRDefault="00090BF6" w:rsidP="00731C75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622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"/>
        <w:gridCol w:w="3105"/>
        <w:gridCol w:w="7602"/>
        <w:gridCol w:w="4657"/>
      </w:tblGrid>
      <w:tr w:rsidR="00A50A26" w:rsidRPr="001015B8" w14:paraId="4253F0C2" w14:textId="77777777" w:rsidTr="00A50A26">
        <w:trPr>
          <w:trHeight w:val="595"/>
          <w:tblHeader/>
        </w:trPr>
        <w:tc>
          <w:tcPr>
            <w:tcW w:w="99" w:type="pct"/>
            <w:shd w:val="clear" w:color="auto" w:fill="D9D9D9" w:themeFill="background1" w:themeFillShade="D9"/>
            <w:noWrap/>
            <w:vAlign w:val="center"/>
          </w:tcPr>
          <w:p w14:paraId="2D60E38B" w14:textId="77777777" w:rsidR="00A50A26" w:rsidRPr="001015B8" w:rsidRDefault="00A50A26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993" w:type="pct"/>
            <w:shd w:val="clear" w:color="auto" w:fill="D9D9D9" w:themeFill="background1" w:themeFillShade="D9"/>
            <w:noWrap/>
            <w:vAlign w:val="center"/>
          </w:tcPr>
          <w:p w14:paraId="7906209D" w14:textId="77777777" w:rsidR="00A50A26" w:rsidRPr="001015B8" w:rsidRDefault="00A50A26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422" w:type="pct"/>
            <w:shd w:val="clear" w:color="auto" w:fill="D9D9D9" w:themeFill="background1" w:themeFillShade="D9"/>
            <w:vAlign w:val="center"/>
          </w:tcPr>
          <w:p w14:paraId="7B1E0E0F" w14:textId="77777777" w:rsidR="00A50A26" w:rsidRPr="001015B8" w:rsidRDefault="00A50A26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14:paraId="4B0E4C5C" w14:textId="77777777" w:rsidR="00A50A26" w:rsidRPr="001015B8" w:rsidRDefault="00A50A26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A50A26" w:rsidRPr="0073524C" w14:paraId="3A15FAE5" w14:textId="77777777" w:rsidTr="00A50A26">
        <w:trPr>
          <w:trHeight w:val="255"/>
          <w:tblHeader/>
        </w:trPr>
        <w:tc>
          <w:tcPr>
            <w:tcW w:w="99" w:type="pct"/>
            <w:shd w:val="clear" w:color="auto" w:fill="F2F2F2" w:themeFill="background1" w:themeFillShade="F2"/>
            <w:noWrap/>
            <w:vAlign w:val="bottom"/>
          </w:tcPr>
          <w:p w14:paraId="29482B3A" w14:textId="77777777" w:rsidR="00A50A26" w:rsidRPr="0073524C" w:rsidRDefault="00A50A26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993" w:type="pct"/>
            <w:shd w:val="clear" w:color="auto" w:fill="F2F2F2" w:themeFill="background1" w:themeFillShade="F2"/>
            <w:noWrap/>
            <w:vAlign w:val="bottom"/>
          </w:tcPr>
          <w:p w14:paraId="50AF275C" w14:textId="77777777" w:rsidR="00A50A26" w:rsidRPr="0073524C" w:rsidRDefault="00A50A26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422" w:type="pct"/>
            <w:shd w:val="clear" w:color="auto" w:fill="F2F2F2" w:themeFill="background1" w:themeFillShade="F2"/>
            <w:vAlign w:val="bottom"/>
          </w:tcPr>
          <w:p w14:paraId="6A85E5B6" w14:textId="77777777" w:rsidR="00A50A26" w:rsidRPr="0073524C" w:rsidRDefault="00A50A26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486" w:type="pct"/>
            <w:shd w:val="clear" w:color="auto" w:fill="F2F2F2" w:themeFill="background1" w:themeFillShade="F2"/>
          </w:tcPr>
          <w:p w14:paraId="2DCA6989" w14:textId="77777777" w:rsidR="00A50A26" w:rsidRPr="0073524C" w:rsidRDefault="00A50A26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A50A26" w:rsidRPr="00796D16" w14:paraId="15E25534" w14:textId="77777777" w:rsidTr="00A50A26">
        <w:trPr>
          <w:trHeight w:val="644"/>
        </w:trPr>
        <w:tc>
          <w:tcPr>
            <w:tcW w:w="99" w:type="pct"/>
            <w:noWrap/>
            <w:vAlign w:val="center"/>
          </w:tcPr>
          <w:p w14:paraId="7846EABF" w14:textId="77777777" w:rsidR="00A50A26" w:rsidRDefault="00A50A26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3" w:type="pct"/>
            <w:vAlign w:val="center"/>
          </w:tcPr>
          <w:p w14:paraId="53A88D22" w14:textId="13C44BF1" w:rsidR="00A50A26" w:rsidRDefault="00A50A26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 xml:space="preserve">Zdolność operacyjna </w:t>
            </w:r>
            <w:r w:rsidRPr="00472964">
              <w:rPr>
                <w:rFonts w:asciiTheme="minorHAnsi" w:hAnsiTheme="minorHAnsi" w:cstheme="minorHAnsi"/>
                <w:sz w:val="24"/>
                <w:szCs w:val="24"/>
              </w:rPr>
              <w:br/>
              <w:t>i potencjał organizacyjny</w:t>
            </w:r>
          </w:p>
        </w:tc>
        <w:tc>
          <w:tcPr>
            <w:tcW w:w="2422" w:type="pct"/>
            <w:vAlign w:val="center"/>
          </w:tcPr>
          <w:p w14:paraId="2C758F06" w14:textId="77777777" w:rsidR="00A50A26" w:rsidRDefault="00A50A26" w:rsidP="00AA76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odniesieniu do zakresu złożonego projektu bada się czy:</w:t>
            </w:r>
          </w:p>
          <w:p w14:paraId="1F70262F" w14:textId="77777777" w:rsidR="00A50A26" w:rsidRDefault="00A50A26" w:rsidP="00454B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0C4A71" w14:textId="77777777" w:rsidR="00A50A26" w:rsidRPr="00472964" w:rsidRDefault="00A50A26" w:rsidP="004729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projekt i odpowiednie zaplecze techniczne.</w:t>
            </w:r>
          </w:p>
          <w:p w14:paraId="06909DDB" w14:textId="77777777" w:rsidR="00A50A26" w:rsidRPr="00472964" w:rsidRDefault="00A50A26" w:rsidP="004729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Wnioskodawca posiada doświadczenie w realizacji podobnych projektów i pełnieniu podobnych funkcji.</w:t>
            </w:r>
          </w:p>
          <w:p w14:paraId="75049500" w14:textId="77777777" w:rsidR="00A50A26" w:rsidRPr="00472964" w:rsidRDefault="00A50A26" w:rsidP="004729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Wnioskodawca dysponuje zespołem o odpowiedniej wiedzy, doświadczeniu i kwalifikacjach.</w:t>
            </w:r>
          </w:p>
          <w:p w14:paraId="4BD514EA" w14:textId="77777777" w:rsidR="00A50A26" w:rsidRPr="00472964" w:rsidRDefault="00A50A26" w:rsidP="004729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A8587" w14:textId="12620DAB" w:rsidR="00A50A26" w:rsidRDefault="00A50A26" w:rsidP="00CB5F0C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6805AB63">
              <w:rPr>
                <w:rFonts w:asciiTheme="minorHAnsi" w:hAnsiTheme="minorHAnsi" w:cstheme="minorBid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Pr="6805AB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vAlign w:val="center"/>
          </w:tcPr>
          <w:p w14:paraId="28E1704C" w14:textId="77777777" w:rsidR="00A50A26" w:rsidRDefault="00A50A26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50A26" w:rsidRPr="00796D16" w14:paraId="66E97513" w14:textId="77777777" w:rsidTr="00A50A26">
        <w:trPr>
          <w:trHeight w:val="795"/>
        </w:trPr>
        <w:tc>
          <w:tcPr>
            <w:tcW w:w="99" w:type="pct"/>
            <w:noWrap/>
            <w:vAlign w:val="center"/>
          </w:tcPr>
          <w:p w14:paraId="26EB5A7F" w14:textId="77777777" w:rsidR="00A50A26" w:rsidRPr="00796D1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3" w:type="pct"/>
            <w:vAlign w:val="center"/>
          </w:tcPr>
          <w:p w14:paraId="64B26BDD" w14:textId="77777777" w:rsidR="00A50A26" w:rsidRPr="00472964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Doświadczenie w zakresie wsparcia MŚP dotyczącego realizacji usług rozwojowych.</w:t>
            </w:r>
          </w:p>
          <w:p w14:paraId="2DFB933A" w14:textId="22CE393A" w:rsidR="00A50A26" w:rsidRPr="00796D1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2" w:type="pct"/>
            <w:vAlign w:val="center"/>
          </w:tcPr>
          <w:p w14:paraId="5C744120" w14:textId="56B3087A" w:rsidR="00A50A26" w:rsidRPr="00472964" w:rsidRDefault="00A50A26" w:rsidP="1C2266CB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1C2266CB">
              <w:rPr>
                <w:rFonts w:asciiTheme="minorHAnsi" w:hAnsiTheme="minorHAnsi" w:cstheme="minorBidi"/>
                <w:sz w:val="24"/>
                <w:szCs w:val="24"/>
              </w:rPr>
              <w:t>Wnioskodawca posiada doświadczenie w zakresie wsparcia MŚP dotyczącego realizacji usług rozwojowych tj. kursów, studiów podyplomowych odpowiadających potrzebom MŚP.</w:t>
            </w:r>
          </w:p>
          <w:p w14:paraId="72F35A37" w14:textId="77777777" w:rsidR="00A50A26" w:rsidRPr="00472964" w:rsidRDefault="00A50A26" w:rsidP="0051289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5C54D74" w14:textId="2D59025E" w:rsidR="00A50A26" w:rsidRPr="00796D16" w:rsidRDefault="00A50A26" w:rsidP="00CB5F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86" w:type="pct"/>
            <w:vAlign w:val="center"/>
          </w:tcPr>
          <w:p w14:paraId="0D394A1D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50A26" w:rsidRPr="00796D16" w14:paraId="77A540EF" w14:textId="77777777" w:rsidTr="00A50A26">
        <w:trPr>
          <w:trHeight w:val="644"/>
        </w:trPr>
        <w:tc>
          <w:tcPr>
            <w:tcW w:w="99" w:type="pct"/>
            <w:noWrap/>
            <w:vAlign w:val="center"/>
          </w:tcPr>
          <w:p w14:paraId="253D3A26" w14:textId="77777777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993" w:type="pct"/>
            <w:vAlign w:val="center"/>
          </w:tcPr>
          <w:p w14:paraId="38EC96AD" w14:textId="0D9295A7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Doświadczenie w zakresie współpracy z instytucjami otoczenia biznesu</w:t>
            </w:r>
          </w:p>
        </w:tc>
        <w:tc>
          <w:tcPr>
            <w:tcW w:w="2422" w:type="pct"/>
            <w:vAlign w:val="center"/>
          </w:tcPr>
          <w:p w14:paraId="03B6C275" w14:textId="77777777" w:rsidR="00A50A26" w:rsidRDefault="00A50A26" w:rsidP="00512891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1B162B">
              <w:rPr>
                <w:rFonts w:asciiTheme="minorHAnsi" w:hAnsiTheme="minorHAnsi" w:cstheme="minorHAnsi"/>
              </w:rPr>
              <w:t>Wnioskodawca posiada doświadczenie w zakresie współpracy z IOB na rzecz:</w:t>
            </w:r>
          </w:p>
          <w:p w14:paraId="154EA366" w14:textId="77777777" w:rsidR="00A50A26" w:rsidRDefault="00A50A26" w:rsidP="00512891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</w:rPr>
            </w:pPr>
            <w:r w:rsidRPr="001B162B">
              <w:rPr>
                <w:rFonts w:asciiTheme="minorHAnsi" w:hAnsiTheme="minorHAnsi" w:cstheme="minorHAnsi"/>
              </w:rPr>
              <w:t>rozwijania oferty usług prorozwojowych i proinnowacyjnych dla przedsiębiorstw;</w:t>
            </w:r>
          </w:p>
          <w:p w14:paraId="04DF4FEF" w14:textId="4ABCA604" w:rsidR="00A50A26" w:rsidRDefault="00A50A26" w:rsidP="00512891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</w:rPr>
            </w:pPr>
            <w:r w:rsidRPr="001B162B">
              <w:rPr>
                <w:rFonts w:asciiTheme="minorHAnsi" w:hAnsiTheme="minorHAnsi" w:cstheme="minorHAnsi"/>
              </w:rPr>
              <w:t>rozwijani</w:t>
            </w:r>
            <w:r>
              <w:rPr>
                <w:rFonts w:asciiTheme="minorHAnsi" w:hAnsiTheme="minorHAnsi" w:cstheme="minorHAnsi"/>
              </w:rPr>
              <w:t>a</w:t>
            </w:r>
            <w:r w:rsidRPr="001B162B">
              <w:rPr>
                <w:rFonts w:asciiTheme="minorHAnsi" w:hAnsiTheme="minorHAnsi" w:cstheme="minorHAnsi"/>
              </w:rPr>
              <w:t xml:space="preserve"> oferty usług doradczych dla przedsiębiorstw;</w:t>
            </w:r>
          </w:p>
          <w:p w14:paraId="060A2911" w14:textId="77777777" w:rsidR="00A50A26" w:rsidRDefault="00A50A26" w:rsidP="00512891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</w:rPr>
            </w:pPr>
            <w:r w:rsidRPr="001B162B">
              <w:rPr>
                <w:rFonts w:asciiTheme="minorHAnsi" w:hAnsiTheme="minorHAnsi" w:cstheme="minorHAnsi"/>
              </w:rPr>
              <w:t>podnoszenia kompetencji pracowników MŚP.</w:t>
            </w:r>
          </w:p>
          <w:p w14:paraId="4ED62F37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0C48">
              <w:rPr>
                <w:rFonts w:asciiTheme="minorHAnsi" w:hAnsiTheme="minorHAnsi" w:cstheme="minorHAnsi"/>
                <w:sz w:val="24"/>
                <w:szCs w:val="24"/>
              </w:rPr>
              <w:t xml:space="preserve">Kryterium uznaje się za spełnione w sytuacji, gdy zostały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spełnione wszystkie ww. warunki.</w:t>
            </w:r>
          </w:p>
          <w:p w14:paraId="09DE3A1C" w14:textId="77777777" w:rsidR="00A50A26" w:rsidRPr="001B162B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B14F7" w14:textId="4239C770" w:rsidR="00A50A26" w:rsidRDefault="00A50A26" w:rsidP="00CB5F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</w:t>
            </w:r>
          </w:p>
        </w:tc>
        <w:tc>
          <w:tcPr>
            <w:tcW w:w="1486" w:type="pct"/>
            <w:vAlign w:val="center"/>
          </w:tcPr>
          <w:p w14:paraId="63A02829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A50A26" w:rsidRPr="00796D16" w14:paraId="09F72AF5" w14:textId="77777777" w:rsidTr="00A50A26">
        <w:trPr>
          <w:trHeight w:val="644"/>
        </w:trPr>
        <w:tc>
          <w:tcPr>
            <w:tcW w:w="99" w:type="pct"/>
            <w:noWrap/>
            <w:vAlign w:val="center"/>
          </w:tcPr>
          <w:p w14:paraId="19B8FD19" w14:textId="77777777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3" w:type="pct"/>
            <w:vAlign w:val="center"/>
          </w:tcPr>
          <w:p w14:paraId="68D26DB0" w14:textId="50F2F643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Doświadczenie w zakresie współpracy z przedsiębiorstwami</w:t>
            </w:r>
          </w:p>
        </w:tc>
        <w:tc>
          <w:tcPr>
            <w:tcW w:w="2422" w:type="pct"/>
            <w:vAlign w:val="center"/>
          </w:tcPr>
          <w:p w14:paraId="783078B3" w14:textId="77777777" w:rsidR="00A50A26" w:rsidRPr="00261A58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Wnioskodawca posiada doświadczenie w zakresie współpracy z przedsiębiorstwami w obszarach:</w:t>
            </w:r>
          </w:p>
          <w:p w14:paraId="76937292" w14:textId="77777777" w:rsidR="00A50A26" w:rsidRDefault="00A50A26" w:rsidP="005128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koordynacji i realizacji prorozwojowych usług doradczych o charakterze specjalistycznym dla firm;</w:t>
            </w:r>
          </w:p>
          <w:p w14:paraId="119F3B82" w14:textId="77777777" w:rsidR="00A50A26" w:rsidRDefault="00A50A26" w:rsidP="005128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koordynacji i wdrażaniu proinnowacyjnych usług dla przedsiębiorstw;</w:t>
            </w:r>
          </w:p>
          <w:p w14:paraId="24BAB66E" w14:textId="77777777" w:rsidR="00A50A26" w:rsidRPr="00261A58" w:rsidRDefault="00A50A26" w:rsidP="0051289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podnoszenia kompetencji pracowników MŚP.</w:t>
            </w:r>
          </w:p>
          <w:p w14:paraId="29F56963" w14:textId="77777777" w:rsidR="00A50A26" w:rsidRDefault="00A50A26" w:rsidP="00512891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8C31F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0C48">
              <w:rPr>
                <w:rFonts w:asciiTheme="minorHAnsi" w:hAnsiTheme="minorHAnsi" w:cstheme="minorHAnsi"/>
                <w:sz w:val="24"/>
                <w:szCs w:val="24"/>
              </w:rPr>
              <w:t xml:space="preserve">Kryterium uznaje się za spełnione w sytuacji, gdy zostały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spełnione wszystkie ww. warunki.</w:t>
            </w:r>
          </w:p>
          <w:p w14:paraId="04C25308" w14:textId="77777777" w:rsidR="00A50A26" w:rsidRPr="00670C48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18E8B" w14:textId="79649ACB" w:rsidR="00A50A26" w:rsidRDefault="00A50A26" w:rsidP="00CB5F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o dofinansowanie i załączników i/lub wyjaśnień udzielonych przez Wnioskodawcę.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br/>
            </w:r>
          </w:p>
        </w:tc>
        <w:tc>
          <w:tcPr>
            <w:tcW w:w="1486" w:type="pct"/>
            <w:vAlign w:val="center"/>
          </w:tcPr>
          <w:p w14:paraId="3C560E9D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50A26" w:rsidRPr="00796D16" w14:paraId="4A44CC45" w14:textId="77777777" w:rsidTr="00A50A26">
        <w:trPr>
          <w:trHeight w:val="644"/>
        </w:trPr>
        <w:tc>
          <w:tcPr>
            <w:tcW w:w="99" w:type="pct"/>
            <w:noWrap/>
            <w:vAlign w:val="center"/>
          </w:tcPr>
          <w:p w14:paraId="6A37AC2D" w14:textId="77777777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3" w:type="pct"/>
            <w:vAlign w:val="center"/>
          </w:tcPr>
          <w:p w14:paraId="338D20E3" w14:textId="641E91CB" w:rsidR="00A50A26" w:rsidRDefault="00A50A26" w:rsidP="005128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72964">
              <w:rPr>
                <w:rFonts w:asciiTheme="minorHAnsi" w:hAnsiTheme="minorHAnsi" w:cstheme="minorHAnsi"/>
                <w:sz w:val="24"/>
                <w:szCs w:val="24"/>
              </w:rPr>
              <w:t>Wnioskodawca dysponuje procedurami zapewniającymi prawidłową realizację projektu</w:t>
            </w:r>
          </w:p>
        </w:tc>
        <w:tc>
          <w:tcPr>
            <w:tcW w:w="2422" w:type="pct"/>
            <w:vAlign w:val="center"/>
          </w:tcPr>
          <w:p w14:paraId="0539ADB9" w14:textId="77777777" w:rsidR="00A50A26" w:rsidRDefault="00A50A26" w:rsidP="00512891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Ocenie w ramach kryterium podlega czy Wnioskodawca przedstawił regulamin: </w:t>
            </w:r>
          </w:p>
          <w:p w14:paraId="2EB912E0" w14:textId="14B87026" w:rsidR="00A50A26" w:rsidRPr="006A286F" w:rsidRDefault="00A50A26" w:rsidP="00CB5F0C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805AB63">
              <w:rPr>
                <w:rFonts w:asciiTheme="minorHAnsi" w:eastAsiaTheme="minorEastAsia" w:hAnsiTheme="minorHAnsi" w:cstheme="minorBidi"/>
                <w:sz w:val="24"/>
                <w:szCs w:val="24"/>
              </w:rPr>
              <w:t>który uwzględnia wszystkie warunki realizacji projektów wskazane w Programie Fundusze Europejskie dla Opolskiego 2021-2027 oraz</w:t>
            </w:r>
            <w:r w:rsidRPr="3E95D0F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uwzględnia i uszczegóławia wszystkie warunki wskazane w </w:t>
            </w:r>
            <w:r w:rsidRPr="6805AB6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SZOP 2021-2027 właściwym dla danego postępowania niekonkurencyjnego.</w:t>
            </w:r>
          </w:p>
          <w:p w14:paraId="10CA4C6E" w14:textId="77777777" w:rsidR="00A50A26" w:rsidRDefault="00A50A26" w:rsidP="0051289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286F">
              <w:rPr>
                <w:rFonts w:asciiTheme="minorHAnsi" w:eastAsiaTheme="minorHAnsi" w:hAnsiTheme="minorHAnsi" w:cstheme="minorHAnsi"/>
                <w:sz w:val="24"/>
                <w:szCs w:val="24"/>
              </w:rPr>
              <w:t>w którym zawarte zostały wszystkie niezbędne informacje dotyczące organizacji i przeprowadzenia procesu związanego z realizacją projektu;</w:t>
            </w:r>
          </w:p>
          <w:p w14:paraId="0769B071" w14:textId="77777777" w:rsidR="00A50A26" w:rsidRPr="007176CE" w:rsidRDefault="00A50A26" w:rsidP="0051289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313732EF" w14:textId="557131A8" w:rsidR="00A50A26" w:rsidRDefault="00A50A26" w:rsidP="00CB5F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54B30">
              <w:rPr>
                <w:rFonts w:asciiTheme="minorHAnsi" w:hAnsiTheme="minorHAnsi" w:cstheme="minorHAnsi"/>
                <w:sz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486" w:type="pct"/>
            <w:vAlign w:val="center"/>
          </w:tcPr>
          <w:p w14:paraId="2DA9BE56" w14:textId="77777777" w:rsidR="00A50A26" w:rsidRDefault="00A50A26" w:rsidP="005128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967D597" w14:textId="77777777" w:rsidR="00A60B9D" w:rsidRDefault="00A60B9D"/>
    <w:p w14:paraId="504A17D8" w14:textId="77777777" w:rsidR="00090BF6" w:rsidRDefault="00090BF6"/>
    <w:sectPr w:rsidR="00090BF6" w:rsidSect="000167E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00F71D" w16cid:durableId="75453DFD"/>
  <w16cid:commentId w16cid:paraId="36ED690A" w16cid:durableId="2E2622CD"/>
  <w16cid:commentId w16cid:paraId="2EBA2A7F" w16cid:durableId="7D9F04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8E47" w14:textId="77777777" w:rsidR="00AF55DA" w:rsidRDefault="00AF55DA" w:rsidP="001A07DF">
      <w:pPr>
        <w:spacing w:after="0" w:line="240" w:lineRule="auto"/>
      </w:pPr>
      <w:r>
        <w:separator/>
      </w:r>
    </w:p>
  </w:endnote>
  <w:endnote w:type="continuationSeparator" w:id="0">
    <w:p w14:paraId="61E503B7" w14:textId="77777777" w:rsidR="00AF55DA" w:rsidRDefault="00AF55DA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73E">
          <w:rPr>
            <w:noProof/>
          </w:rPr>
          <w:t>4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75E0" w14:textId="77777777" w:rsidR="00AF55DA" w:rsidRDefault="00AF55DA" w:rsidP="001A07DF">
      <w:pPr>
        <w:spacing w:after="0" w:line="240" w:lineRule="auto"/>
      </w:pPr>
      <w:r>
        <w:separator/>
      </w:r>
    </w:p>
  </w:footnote>
  <w:footnote w:type="continuationSeparator" w:id="0">
    <w:p w14:paraId="702021A3" w14:textId="77777777" w:rsidR="00AF55DA" w:rsidRDefault="00AF55DA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5DF"/>
    <w:multiLevelType w:val="hybridMultilevel"/>
    <w:tmpl w:val="8E2A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CD6"/>
    <w:multiLevelType w:val="hybridMultilevel"/>
    <w:tmpl w:val="9E1871D6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914FB"/>
    <w:multiLevelType w:val="hybridMultilevel"/>
    <w:tmpl w:val="082239F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5440"/>
    <w:rsid w:val="000167EE"/>
    <w:rsid w:val="00022A9E"/>
    <w:rsid w:val="000279E5"/>
    <w:rsid w:val="000349DD"/>
    <w:rsid w:val="00054930"/>
    <w:rsid w:val="00061230"/>
    <w:rsid w:val="00090BF6"/>
    <w:rsid w:val="000A3C38"/>
    <w:rsid w:val="000C3110"/>
    <w:rsid w:val="000D047E"/>
    <w:rsid w:val="000E6B18"/>
    <w:rsid w:val="00125CA8"/>
    <w:rsid w:val="0016686A"/>
    <w:rsid w:val="00175366"/>
    <w:rsid w:val="00181F16"/>
    <w:rsid w:val="001A07DF"/>
    <w:rsid w:val="001C312B"/>
    <w:rsid w:val="00226B7A"/>
    <w:rsid w:val="0023169B"/>
    <w:rsid w:val="00271368"/>
    <w:rsid w:val="00297AB2"/>
    <w:rsid w:val="002B4AA8"/>
    <w:rsid w:val="002D7FC0"/>
    <w:rsid w:val="002E1AB5"/>
    <w:rsid w:val="00301F28"/>
    <w:rsid w:val="003228EA"/>
    <w:rsid w:val="003246C0"/>
    <w:rsid w:val="00326E2F"/>
    <w:rsid w:val="0034548C"/>
    <w:rsid w:val="003514CF"/>
    <w:rsid w:val="00364BDF"/>
    <w:rsid w:val="003724BB"/>
    <w:rsid w:val="00385B66"/>
    <w:rsid w:val="0039352F"/>
    <w:rsid w:val="003957C8"/>
    <w:rsid w:val="003B3147"/>
    <w:rsid w:val="00432098"/>
    <w:rsid w:val="00432804"/>
    <w:rsid w:val="00450368"/>
    <w:rsid w:val="00454B30"/>
    <w:rsid w:val="0047170E"/>
    <w:rsid w:val="00472964"/>
    <w:rsid w:val="00491E55"/>
    <w:rsid w:val="004A403E"/>
    <w:rsid w:val="004B43F0"/>
    <w:rsid w:val="004D45DF"/>
    <w:rsid w:val="004F3AC2"/>
    <w:rsid w:val="00512891"/>
    <w:rsid w:val="0051701B"/>
    <w:rsid w:val="00517FD7"/>
    <w:rsid w:val="00595A99"/>
    <w:rsid w:val="005B4ADA"/>
    <w:rsid w:val="005B730B"/>
    <w:rsid w:val="005C48D4"/>
    <w:rsid w:val="005D2592"/>
    <w:rsid w:val="005E0748"/>
    <w:rsid w:val="005E26F0"/>
    <w:rsid w:val="00636590"/>
    <w:rsid w:val="006935F8"/>
    <w:rsid w:val="006C2979"/>
    <w:rsid w:val="0070241F"/>
    <w:rsid w:val="00705812"/>
    <w:rsid w:val="00731EAB"/>
    <w:rsid w:val="00735FC6"/>
    <w:rsid w:val="00745059"/>
    <w:rsid w:val="00754A5B"/>
    <w:rsid w:val="00777BAC"/>
    <w:rsid w:val="007807A0"/>
    <w:rsid w:val="0078417B"/>
    <w:rsid w:val="007928B2"/>
    <w:rsid w:val="0079373E"/>
    <w:rsid w:val="00796D16"/>
    <w:rsid w:val="007A5F52"/>
    <w:rsid w:val="007F7FE0"/>
    <w:rsid w:val="0082557A"/>
    <w:rsid w:val="008260D5"/>
    <w:rsid w:val="0084209E"/>
    <w:rsid w:val="008649E2"/>
    <w:rsid w:val="008845A9"/>
    <w:rsid w:val="00884B29"/>
    <w:rsid w:val="00893CF0"/>
    <w:rsid w:val="008A1AFB"/>
    <w:rsid w:val="009141DD"/>
    <w:rsid w:val="00932D39"/>
    <w:rsid w:val="00941188"/>
    <w:rsid w:val="009463CB"/>
    <w:rsid w:val="00950757"/>
    <w:rsid w:val="0096066E"/>
    <w:rsid w:val="009979EC"/>
    <w:rsid w:val="009A2387"/>
    <w:rsid w:val="009E411B"/>
    <w:rsid w:val="009F4BD4"/>
    <w:rsid w:val="00A1747B"/>
    <w:rsid w:val="00A366AA"/>
    <w:rsid w:val="00A50A26"/>
    <w:rsid w:val="00A60B9D"/>
    <w:rsid w:val="00A66B5E"/>
    <w:rsid w:val="00A805BD"/>
    <w:rsid w:val="00A91E12"/>
    <w:rsid w:val="00AA542B"/>
    <w:rsid w:val="00AA7634"/>
    <w:rsid w:val="00AB11E7"/>
    <w:rsid w:val="00AF55DA"/>
    <w:rsid w:val="00B13A23"/>
    <w:rsid w:val="00BC0E57"/>
    <w:rsid w:val="00BD693A"/>
    <w:rsid w:val="00C43E21"/>
    <w:rsid w:val="00C61820"/>
    <w:rsid w:val="00CB5F0C"/>
    <w:rsid w:val="00CD69B1"/>
    <w:rsid w:val="00CE565D"/>
    <w:rsid w:val="00D030D3"/>
    <w:rsid w:val="00D174B1"/>
    <w:rsid w:val="00D34D77"/>
    <w:rsid w:val="00D42C2C"/>
    <w:rsid w:val="00D67258"/>
    <w:rsid w:val="00DA2073"/>
    <w:rsid w:val="00DA3F9D"/>
    <w:rsid w:val="00DA4EB4"/>
    <w:rsid w:val="00DB38DD"/>
    <w:rsid w:val="00DE30F3"/>
    <w:rsid w:val="00DF397F"/>
    <w:rsid w:val="00E149C2"/>
    <w:rsid w:val="00E26371"/>
    <w:rsid w:val="00E62E44"/>
    <w:rsid w:val="00E77DBA"/>
    <w:rsid w:val="00EB35E0"/>
    <w:rsid w:val="00EB74A4"/>
    <w:rsid w:val="00EE0114"/>
    <w:rsid w:val="00EE0272"/>
    <w:rsid w:val="00F44938"/>
    <w:rsid w:val="00F52E25"/>
    <w:rsid w:val="00F56FE1"/>
    <w:rsid w:val="00F71D0A"/>
    <w:rsid w:val="00F7218F"/>
    <w:rsid w:val="00F85D19"/>
    <w:rsid w:val="00FD7626"/>
    <w:rsid w:val="00FE1E4D"/>
    <w:rsid w:val="0339D433"/>
    <w:rsid w:val="1C2266CB"/>
    <w:rsid w:val="5DF4D163"/>
    <w:rsid w:val="607B2FB4"/>
    <w:rsid w:val="6805AB63"/>
    <w:rsid w:val="68C93CC1"/>
    <w:rsid w:val="796ED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47296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AF0852-E9F2-481C-98C1-4D0E000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2023-05-09T09:31:00Z</dcterms:created>
  <dcterms:modified xsi:type="dcterms:W3CDTF">2023-05-16T11:35:00Z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2023-04-25T10:20:51Z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4247b413-b420-4220-a9ef-10b1242bb6cc</vt:lpwstr>
  </property>
  <property fmtid="{D5CDD505-2E9C-101B-9397-08002B2CF9AE}" pid="8" name="MSIP_Label_f4cdc456-5864-460f-beda-883d23b78bbb_ContentBits">
    <vt:lpwstr>0</vt:lpwstr>
  </property>
</Properties>
</file>