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C118C" w14:textId="77777777" w:rsidR="001C278C" w:rsidRDefault="002119AC" w:rsidP="00547A0B">
      <w:pPr>
        <w:pStyle w:val="Bezodstpw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01FBC7B9" wp14:editId="144B0015">
            <wp:extent cx="5760720" cy="638951"/>
            <wp:effectExtent l="0" t="0" r="0" b="889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89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F9CD53" w14:textId="77777777" w:rsidR="002119AC" w:rsidRDefault="002119AC"/>
    <w:p w14:paraId="0F46BC1A" w14:textId="77777777" w:rsidR="002119AC" w:rsidRDefault="002119AC"/>
    <w:p w14:paraId="27AAF34F" w14:textId="77777777" w:rsidR="002119AC" w:rsidRDefault="002119AC"/>
    <w:p w14:paraId="42E7F12E" w14:textId="77777777" w:rsidR="002119AC" w:rsidRDefault="002119AC"/>
    <w:p w14:paraId="571C3B24" w14:textId="77777777" w:rsidR="002119AC" w:rsidRDefault="002119AC"/>
    <w:p w14:paraId="7115AE37" w14:textId="77777777" w:rsidR="002119AC" w:rsidRDefault="002119AC"/>
    <w:p w14:paraId="67C96186" w14:textId="4AADD54A" w:rsidR="002119AC" w:rsidRDefault="002119AC">
      <w:r>
        <w:rPr>
          <w:rFonts w:ascii="Calibri" w:hAnsi="Calibri" w:cs="Calibri"/>
          <w:b/>
          <w:sz w:val="44"/>
          <w:szCs w:val="44"/>
        </w:rPr>
        <w:t xml:space="preserve">ZAŁĄCZNIK NR </w:t>
      </w:r>
      <w:r w:rsidR="00402C09">
        <w:rPr>
          <w:rFonts w:ascii="Calibri" w:hAnsi="Calibri" w:cs="Calibri"/>
          <w:b/>
          <w:sz w:val="44"/>
          <w:szCs w:val="44"/>
        </w:rPr>
        <w:t>10</w:t>
      </w:r>
    </w:p>
    <w:p w14:paraId="33AF4119" w14:textId="663C58DA" w:rsidR="002119AC" w:rsidRDefault="002119AC">
      <w:pPr>
        <w:rPr>
          <w:rFonts w:cstheme="minorHAnsi"/>
          <w:b/>
          <w:sz w:val="44"/>
          <w:szCs w:val="44"/>
        </w:rPr>
      </w:pPr>
      <w:r w:rsidRPr="002119AC">
        <w:rPr>
          <w:rFonts w:cstheme="minorHAnsi"/>
          <w:b/>
          <w:sz w:val="44"/>
          <w:szCs w:val="44"/>
        </w:rPr>
        <w:t>Wyciąg ze Szczegółowego Opisu Priorytetów Programu Fundusze Europejskie dla Opolskiego 2021-2027</w:t>
      </w:r>
      <w:r w:rsidR="00FD543F">
        <w:rPr>
          <w:rFonts w:cstheme="minorHAnsi"/>
          <w:b/>
          <w:sz w:val="44"/>
          <w:szCs w:val="44"/>
        </w:rPr>
        <w:t xml:space="preserve"> </w:t>
      </w:r>
      <w:r w:rsidRPr="002119AC">
        <w:rPr>
          <w:rFonts w:cstheme="minorHAnsi"/>
          <w:b/>
          <w:sz w:val="44"/>
          <w:szCs w:val="44"/>
        </w:rPr>
        <w:t xml:space="preserve">(karta działania </w:t>
      </w:r>
      <w:r w:rsidR="00352817">
        <w:rPr>
          <w:rFonts w:cstheme="minorHAnsi"/>
          <w:b/>
          <w:sz w:val="44"/>
          <w:szCs w:val="44"/>
        </w:rPr>
        <w:t>5.7</w:t>
      </w:r>
      <w:r>
        <w:rPr>
          <w:rFonts w:cstheme="minorHAnsi"/>
          <w:b/>
          <w:sz w:val="44"/>
          <w:szCs w:val="44"/>
        </w:rPr>
        <w:t>)</w:t>
      </w:r>
    </w:p>
    <w:p w14:paraId="656139BE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5DF109CF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03123799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6CEBA38C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26EE3031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1ABB9BCC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58AD8DAF" w14:textId="77777777" w:rsidR="00402143" w:rsidRDefault="00402143">
      <w:pPr>
        <w:rPr>
          <w:rFonts w:ascii="Calibri" w:eastAsia="Calibri" w:hAnsi="Calibri" w:cs="Times New Roman"/>
          <w:lang w:eastAsia="pl-PL"/>
        </w:rPr>
      </w:pPr>
    </w:p>
    <w:p w14:paraId="3E50AEE1" w14:textId="77777777" w:rsidR="00BF3163" w:rsidRDefault="00BF3163">
      <w:pPr>
        <w:rPr>
          <w:rFonts w:ascii="Calibri" w:eastAsia="Calibri" w:hAnsi="Calibri" w:cs="Times New Roman"/>
          <w:sz w:val="24"/>
          <w:szCs w:val="24"/>
          <w:lang w:eastAsia="pl-PL"/>
        </w:rPr>
      </w:pPr>
    </w:p>
    <w:p w14:paraId="14766799" w14:textId="77777777" w:rsidR="00D901F9" w:rsidRDefault="00D901F9">
      <w:pPr>
        <w:rPr>
          <w:rFonts w:ascii="Calibri" w:eastAsia="Calibri" w:hAnsi="Calibri" w:cs="Times New Roman"/>
          <w:sz w:val="24"/>
          <w:szCs w:val="24"/>
          <w:lang w:eastAsia="pl-PL"/>
        </w:rPr>
      </w:pPr>
    </w:p>
    <w:p w14:paraId="4E951A94" w14:textId="0854C1E6" w:rsidR="00124696" w:rsidRPr="00D901F9" w:rsidRDefault="00402143" w:rsidP="00124696">
      <w:pPr>
        <w:rPr>
          <w:rFonts w:cstheme="minorHAnsi"/>
          <w:b/>
          <w:sz w:val="24"/>
          <w:szCs w:val="24"/>
        </w:rPr>
      </w:pPr>
      <w:r w:rsidRPr="00B5272F">
        <w:rPr>
          <w:rFonts w:ascii="Calibri" w:eastAsia="Calibri" w:hAnsi="Calibri" w:cs="Times New Roman"/>
          <w:sz w:val="24"/>
          <w:szCs w:val="24"/>
          <w:lang w:eastAsia="pl-PL"/>
        </w:rPr>
        <w:t xml:space="preserve">Opole, </w:t>
      </w:r>
      <w:r w:rsidR="00A72DF1">
        <w:rPr>
          <w:rFonts w:ascii="Calibri" w:eastAsia="Calibri" w:hAnsi="Calibri" w:cs="Times New Roman"/>
          <w:sz w:val="24"/>
          <w:szCs w:val="24"/>
          <w:lang w:eastAsia="pl-PL"/>
        </w:rPr>
        <w:t>styczeń 2026</w:t>
      </w:r>
      <w:r w:rsidRPr="00B5272F">
        <w:rPr>
          <w:rFonts w:ascii="Calibri" w:eastAsia="Calibri" w:hAnsi="Calibri" w:cs="Times New Roman"/>
          <w:sz w:val="24"/>
          <w:szCs w:val="24"/>
          <w:lang w:eastAsia="pl-PL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7739" w14:paraId="7060CD72" w14:textId="77777777" w:rsidTr="0035369C">
        <w:tc>
          <w:tcPr>
            <w:tcW w:w="9062" w:type="dxa"/>
            <w:shd w:val="clear" w:color="auto" w:fill="D9D9D9" w:themeFill="light1" w:themeFillShade="D9"/>
          </w:tcPr>
          <w:p w14:paraId="5C9C39C3" w14:textId="77777777" w:rsidR="005C7739" w:rsidRDefault="005C7739" w:rsidP="0035369C">
            <w:pPr>
              <w:spacing w:before="6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Kod i nazwa działania</w:t>
            </w:r>
          </w:p>
        </w:tc>
      </w:tr>
      <w:tr w:rsidR="005C7739" w14:paraId="113CA426" w14:textId="77777777" w:rsidTr="0035369C">
        <w:tc>
          <w:tcPr>
            <w:tcW w:w="9062" w:type="dxa"/>
          </w:tcPr>
          <w:p w14:paraId="4CB685ED" w14:textId="77777777" w:rsidR="005C7739" w:rsidRDefault="005C7739" w:rsidP="0035369C">
            <w:pPr>
              <w:pStyle w:val="Nagwek3"/>
              <w:spacing w:after="120"/>
              <w:outlineLvl w:val="2"/>
            </w:pPr>
            <w:bookmarkStart w:id="1" w:name="_Toc216763597"/>
            <w:r>
              <w:rPr>
                <w:rFonts w:ascii="Calibri" w:hAnsi="Calibri" w:cs="Calibri"/>
                <w:sz w:val="32"/>
              </w:rPr>
              <w:t>Działanie FEOP.05.07 Kształcenie ogólne</w:t>
            </w:r>
            <w:bookmarkEnd w:id="1"/>
          </w:p>
        </w:tc>
      </w:tr>
      <w:tr w:rsidR="005C7739" w14:paraId="5915870E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5E72117B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Cel szczegółowy</w:t>
            </w:r>
          </w:p>
        </w:tc>
      </w:tr>
      <w:tr w:rsidR="005C7739" w14:paraId="38C88B80" w14:textId="77777777" w:rsidTr="0035369C">
        <w:tc>
          <w:tcPr>
            <w:tcW w:w="9062" w:type="dxa"/>
          </w:tcPr>
          <w:p w14:paraId="29EB0917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EFS+.CP4.F -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      </w:r>
          </w:p>
        </w:tc>
      </w:tr>
      <w:tr w:rsidR="005C7739" w14:paraId="0FE70772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009C86AB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Instytucja Pośrednicząca</w:t>
            </w:r>
          </w:p>
        </w:tc>
      </w:tr>
      <w:tr w:rsidR="005C7739" w14:paraId="25FE11FA" w14:textId="77777777" w:rsidTr="0035369C">
        <w:tc>
          <w:tcPr>
            <w:tcW w:w="9062" w:type="dxa"/>
          </w:tcPr>
          <w:p w14:paraId="2D15522B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Wojewódzki Urząd Pracy w Opolu</w:t>
            </w:r>
          </w:p>
        </w:tc>
      </w:tr>
      <w:tr w:rsidR="005C7739" w14:paraId="096B489C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1F04778E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Wysokość alokacji ogółem (EUR)</w:t>
            </w:r>
          </w:p>
        </w:tc>
      </w:tr>
      <w:tr w:rsidR="005C7739" w14:paraId="24EF2F61" w14:textId="77777777" w:rsidTr="0035369C">
        <w:tc>
          <w:tcPr>
            <w:tcW w:w="9062" w:type="dxa"/>
          </w:tcPr>
          <w:p w14:paraId="73CD4579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10 727 012,00</w:t>
            </w:r>
          </w:p>
        </w:tc>
      </w:tr>
      <w:tr w:rsidR="005C7739" w14:paraId="26206965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06F95437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Wysokość alokacji UE (EUR)</w:t>
            </w:r>
          </w:p>
        </w:tc>
      </w:tr>
      <w:tr w:rsidR="005C7739" w14:paraId="4D0A8E57" w14:textId="77777777" w:rsidTr="0035369C">
        <w:tc>
          <w:tcPr>
            <w:tcW w:w="9062" w:type="dxa"/>
          </w:tcPr>
          <w:p w14:paraId="44780FFF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9 117 960,00</w:t>
            </w:r>
          </w:p>
        </w:tc>
      </w:tr>
      <w:tr w:rsidR="005C7739" w14:paraId="060ED3D0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29037E3E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Zakres interwencji</w:t>
            </w:r>
          </w:p>
        </w:tc>
      </w:tr>
      <w:tr w:rsidR="005C7739" w14:paraId="1E29B7CE" w14:textId="77777777" w:rsidTr="0035369C">
        <w:tc>
          <w:tcPr>
            <w:tcW w:w="9062" w:type="dxa"/>
          </w:tcPr>
          <w:p w14:paraId="01E08A63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149 - Wsparcie na rzecz szkolnictwa podstawowego i średniego (z wyłączeniem infrastruktury), 163 - Promowanie integracji społecznej osób zagrożonych ubóstwem lub wykluczeniem społecznym, w tym osób najbardziej potrzebujących i dzieci</w:t>
            </w:r>
          </w:p>
        </w:tc>
      </w:tr>
      <w:tr w:rsidR="005C7739" w14:paraId="79CFEC8E" w14:textId="77777777" w:rsidTr="0035369C">
        <w:tblPrEx>
          <w:shd w:val="clear" w:color="auto" w:fill="F2F2F2" w:themeFill="light1" w:themeFillShade="F2"/>
        </w:tblPrEx>
        <w:tc>
          <w:tcPr>
            <w:tcW w:w="9062" w:type="dxa"/>
            <w:shd w:val="clear" w:color="auto" w:fill="F2F2F2" w:themeFill="light1" w:themeFillShade="F2"/>
          </w:tcPr>
          <w:p w14:paraId="417D2A63" w14:textId="77777777" w:rsidR="005C7739" w:rsidRDefault="005C7739" w:rsidP="0035369C">
            <w:pPr>
              <w:spacing w:before="60" w:after="240"/>
              <w:rPr>
                <w:b/>
                <w:sz w:val="26"/>
              </w:rPr>
            </w:pPr>
            <w:r>
              <w:rPr>
                <w:b/>
                <w:sz w:val="26"/>
              </w:rPr>
              <w:t>Opis działania</w:t>
            </w:r>
          </w:p>
        </w:tc>
      </w:tr>
      <w:tr w:rsidR="005C7739" w14:paraId="470F8945" w14:textId="77777777" w:rsidTr="0035369C">
        <w:tc>
          <w:tcPr>
            <w:tcW w:w="9062" w:type="dxa"/>
          </w:tcPr>
          <w:p w14:paraId="38B30690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br/>
            </w:r>
            <w:r>
              <w:rPr>
                <w:sz w:val="26"/>
              </w:rPr>
              <w:t>Planowane typy przedsięwzięć:</w:t>
            </w:r>
            <w:r>
              <w:br/>
            </w:r>
            <w:r>
              <w:rPr>
                <w:sz w:val="26"/>
              </w:rPr>
              <w:t>1. Rozwój kompetencji kluczowych uczniów i nauczycieli w rozumieniu Zalecenia Rady z dnia 22.05.2018 ws. kompetencji kluczowych w procesie uczenia się przez całe życie, tj.:</w:t>
            </w:r>
            <w:r>
              <w:br/>
            </w:r>
            <w:r>
              <w:rPr>
                <w:sz w:val="26"/>
              </w:rPr>
              <w:t xml:space="preserve">a) podnoszenie poziomu opanowania umiejętności podstawowych (rozumienia i tworzenia informacji, rozumowania matematycznego i podstawowych umiejętności </w:t>
            </w:r>
            <w:r>
              <w:rPr>
                <w:sz w:val="26"/>
              </w:rPr>
              <w:lastRenderedPageBreak/>
              <w:t>cyfrowych),</w:t>
            </w:r>
            <w:r>
              <w:br/>
            </w:r>
            <w:r>
              <w:rPr>
                <w:sz w:val="26"/>
              </w:rPr>
              <w:t>b) podnoszenie poziomu kompetencji osobistych, społecznych i w zakresie umiejętności uczenia się,</w:t>
            </w:r>
            <w:r>
              <w:br/>
            </w:r>
            <w:r>
              <w:rPr>
                <w:sz w:val="26"/>
              </w:rPr>
              <w:t>c) wspieranie nabywania kompetencji w dziedzinie nauk przyrodniczych, technologii, inżynierii i matematyki (STEM), z uwzględnieniem ich powiązania ze sztuką, kreatywnością i innowacyjnością, oraz zachęcanie większej liczby młodych ludzi, zwłaszcza dziewcząt i młodych kobiet, do wyboru zawodu w dziedzinach STEM,</w:t>
            </w:r>
            <w:r>
              <w:br/>
            </w:r>
            <w:r>
              <w:rPr>
                <w:sz w:val="26"/>
              </w:rPr>
              <w:t>d) pielęgnowanie kompetencji w zakresie przedsiębiorczości, kreatywności i zmysłu inicjatywy, szczególnie wśród młodych ludzi, na przykład przez promowanie możliwości zdobycia praktycznych doświadczeń w zakresie przedsiębiorczości,</w:t>
            </w:r>
            <w:r>
              <w:br/>
            </w:r>
            <w:r>
              <w:rPr>
                <w:sz w:val="26"/>
              </w:rPr>
              <w:t>e) podnoszenie poziomu kompetencji językowych zarówno w odniesieniu do języków urzędowych, jak i innych, oraz wspieranie osób uczących się w nauce różnych języków, które są istotne dla ich sytuacji zawodowej i życiowej lub mogą sprzyjać transgranicznej komunikacji i mobilności,</w:t>
            </w:r>
            <w:r>
              <w:br/>
            </w:r>
            <w:r>
              <w:rPr>
                <w:sz w:val="26"/>
              </w:rPr>
              <w:t>f) wspomaganie rozwijania kompetencji obywatelskich.</w:t>
            </w:r>
            <w:r>
              <w:br/>
            </w:r>
            <w:r>
              <w:rPr>
                <w:sz w:val="26"/>
              </w:rPr>
              <w:t xml:space="preserve">2. Wyrównywanie szans edukacyjnych dla uczniów, w tym przede wszystkim z grup znajdujących się w niekorzystnej sytuacji, przy zapewnieniu braku stygmatyzacji jakiekolwiek z grup. </w:t>
            </w:r>
            <w:r>
              <w:br/>
            </w:r>
            <w:r>
              <w:rPr>
                <w:sz w:val="26"/>
              </w:rPr>
              <w:t xml:space="preserve">3. Wsparcie jakości nauczania przedmiotów ścisłych, m.in. poprzez wykorzystanie metod eksperymentu w edukacji. </w:t>
            </w:r>
            <w:r>
              <w:br/>
            </w:r>
            <w:r>
              <w:rPr>
                <w:sz w:val="26"/>
              </w:rPr>
              <w:t xml:space="preserve">4. Indywidualizacja podejścia do ucznia, w tym z niepełnosprawnościami. </w:t>
            </w:r>
            <w:r>
              <w:br/>
            </w:r>
            <w:r>
              <w:rPr>
                <w:sz w:val="26"/>
              </w:rPr>
              <w:t>5. Wsparcie cyfryzacji szkoły lub placówki w zakresie organizacyjnym lub procesowym lub w zakresie rozwoju kompetencji cyfrowych uczniów lub kadry, w tym rozwój umiejętności korzystania z mediów, umiejętność korzystania z nowoczesnych narzędzi IT w procesie edukacji, cyberbezpieczeństwo.</w:t>
            </w:r>
            <w:r>
              <w:br/>
            </w:r>
            <w:r>
              <w:rPr>
                <w:sz w:val="26"/>
              </w:rPr>
              <w:t>6. Wsparcie ogólnodostępnych szkół w prowadzeniu skutecznej edukacji włączającej:</w:t>
            </w:r>
            <w:r>
              <w:br/>
            </w:r>
            <w:r>
              <w:rPr>
                <w:sz w:val="26"/>
              </w:rPr>
              <w:t>a)</w:t>
            </w:r>
            <w:r>
              <w:rPr>
                <w:sz w:val="26"/>
              </w:rPr>
              <w:tab/>
              <w:t>bezpośrednie wsparcie uczniów ze specjalnymi potrzebami edukacyjnymi,</w:t>
            </w:r>
            <w:r>
              <w:br/>
            </w:r>
            <w:r>
              <w:rPr>
                <w:sz w:val="26"/>
              </w:rPr>
              <w:t>b)</w:t>
            </w:r>
            <w:r>
              <w:rPr>
                <w:sz w:val="26"/>
              </w:rPr>
              <w:tab/>
              <w:t xml:space="preserve">podnoszenie kompetencji kadr pedagog. m.in. w zakresie pedagogiki specjalnej, </w:t>
            </w:r>
            <w:r>
              <w:br/>
            </w:r>
            <w:r>
              <w:rPr>
                <w:sz w:val="26"/>
              </w:rPr>
              <w:t>c)</w:t>
            </w:r>
            <w:r>
              <w:rPr>
                <w:sz w:val="26"/>
              </w:rPr>
              <w:tab/>
              <w:t>współpraca/partnerstwo z innymi placówkami, w tym ze szkołami specjalnymi i/lub organ. pozarząd. w celu integracji uczniów, rodziców i nauczycieli oraz wymiany doświadczeń i  dostosowania szkół do potrzeb dzieci ze specjalnymi potrzebami edu.,</w:t>
            </w:r>
            <w:r>
              <w:br/>
            </w:r>
            <w:r>
              <w:rPr>
                <w:sz w:val="26"/>
              </w:rPr>
              <w:t>d)</w:t>
            </w:r>
            <w:r>
              <w:rPr>
                <w:sz w:val="26"/>
              </w:rPr>
              <w:tab/>
              <w:t>wdrożenie szkół i placówek kształcenia ogólnego do pełnienia roli lokalnego centrum integracji i włączenia.</w:t>
            </w:r>
            <w:r>
              <w:br/>
            </w:r>
            <w:r>
              <w:rPr>
                <w:sz w:val="26"/>
              </w:rPr>
              <w:t>7.</w:t>
            </w:r>
            <w:r>
              <w:rPr>
                <w:sz w:val="26"/>
              </w:rPr>
              <w:tab/>
              <w:t xml:space="preserve">Działania wspierające wdrażanie Modelu szkoły ćwiczeń [1]. </w:t>
            </w:r>
            <w:r>
              <w:br/>
            </w:r>
            <w:r>
              <w:rPr>
                <w:sz w:val="26"/>
              </w:rPr>
              <w:lastRenderedPageBreak/>
              <w:t>8.</w:t>
            </w:r>
            <w:r>
              <w:rPr>
                <w:sz w:val="26"/>
              </w:rPr>
              <w:tab/>
              <w:t xml:space="preserve">Wsparcie działań związanych z edukacją ekologiczną dla uczniów i nauczycieli, w tym wiedza o klimacie i ochronie środowiska, współpraca szkół z pracodawcami w zakresie nowych zielonych zawodów. </w:t>
            </w:r>
            <w:r>
              <w:br/>
            </w:r>
            <w:r>
              <w:rPr>
                <w:sz w:val="26"/>
              </w:rPr>
              <w:t>9.</w:t>
            </w:r>
            <w:r>
              <w:rPr>
                <w:sz w:val="26"/>
              </w:rPr>
              <w:tab/>
              <w:t>Doskonalenie kompetencji i kwalifikacji nauczycieli kształcenia ogólnego, w tym we współpracy z uczelniami, przedsiębiorcami i pracodawcami.</w:t>
            </w:r>
            <w:r>
              <w:br/>
            </w:r>
            <w:r>
              <w:rPr>
                <w:sz w:val="26"/>
              </w:rPr>
              <w:t>10.</w:t>
            </w:r>
            <w:r>
              <w:rPr>
                <w:sz w:val="26"/>
              </w:rPr>
              <w:tab/>
              <w:t>Doradztwo zawodowe w ramach kształcenia ogólnego dla uczniów, nauczycieli oraz osób dorosłych, w tym wdrażanie rozwiązań w zakresie doradztwa zawod. wypracowanych przez MEiN [2].</w:t>
            </w:r>
            <w:r>
              <w:br/>
            </w:r>
            <w:r>
              <w:rPr>
                <w:sz w:val="26"/>
              </w:rPr>
              <w:t>11.</w:t>
            </w:r>
            <w:r>
              <w:rPr>
                <w:sz w:val="26"/>
              </w:rPr>
              <w:tab/>
              <w:t>Wsparcie szkolen-doradcze dla kadr pedag., w tym nauczycieli, psychologów, pedagogów i doradców zawodowych zatrudnionych w szkole, m.in. studia, kursy, szkolenia, coaching, tutoring, superwizja oraz zakup narzędzi w zakresie pedagogiki, psychologii i doradztwa zawodowego.</w:t>
            </w:r>
            <w:r>
              <w:br/>
            </w:r>
            <w:r>
              <w:rPr>
                <w:sz w:val="26"/>
              </w:rPr>
              <w:t>12.</w:t>
            </w:r>
            <w:r>
              <w:rPr>
                <w:sz w:val="26"/>
              </w:rPr>
              <w:tab/>
              <w:t xml:space="preserve">Współpraca szkół i placówek prowadzących kształcenie ogólne, o charakterze strategicznym i praktycznym z otoczeniem społ.-gosp., zwłaszcza z pracodawcami, a także uczelniami wyższymi, instytucjami rynku pracy. </w:t>
            </w:r>
            <w:r>
              <w:br/>
            </w:r>
            <w:r>
              <w:rPr>
                <w:sz w:val="26"/>
              </w:rPr>
              <w:t>13.</w:t>
            </w:r>
            <w:r>
              <w:rPr>
                <w:sz w:val="26"/>
              </w:rPr>
              <w:tab/>
              <w:t xml:space="preserve">Wsparcie uczniów szkół ogólnokształcących w zdobywaniu dodatkowych kwalifikacji zawodowych. </w:t>
            </w:r>
            <w:r>
              <w:br/>
            </w:r>
            <w:r>
              <w:rPr>
                <w:sz w:val="26"/>
              </w:rPr>
              <w:t>14.</w:t>
            </w:r>
            <w:r>
              <w:rPr>
                <w:sz w:val="26"/>
              </w:rPr>
              <w:tab/>
              <w:t xml:space="preserve">Dostosowanie kompetencji i kwalifikacji zawodowych osób dorosłych do potrzeb rynku pracy, w tym z uwzględnieniem elastycznych rozwiązań (np. kształcenie na odległość). </w:t>
            </w:r>
            <w:r>
              <w:br/>
            </w:r>
            <w:r>
              <w:rPr>
                <w:sz w:val="26"/>
              </w:rPr>
              <w:t>15.</w:t>
            </w:r>
            <w:r>
              <w:rPr>
                <w:sz w:val="26"/>
              </w:rPr>
              <w:tab/>
              <w:t>Wsparcie rozwijania kompetencji, umiejętności, uzdolnień, zainteresowań uczniów poza edukacją formalną.</w:t>
            </w:r>
            <w:r>
              <w:br/>
            </w:r>
            <w:r>
              <w:rPr>
                <w:sz w:val="26"/>
              </w:rPr>
              <w:t>16.</w:t>
            </w:r>
            <w:r>
              <w:rPr>
                <w:sz w:val="26"/>
              </w:rPr>
              <w:tab/>
              <w:t>Wsparcie psych.-pedagog. dla dzieci, młodzieży, nauczycieli i rodziców przeciwdziałające skutkom izolacji, zaburzeniom behawioralnym oraz psych., a także podnoszenie kwalifikacji psychologów, pedagogów, logopedów i doradców zawodowych zatrudnionych w szkołach.</w:t>
            </w:r>
            <w:r>
              <w:br/>
            </w:r>
            <w:r>
              <w:rPr>
                <w:sz w:val="26"/>
              </w:rPr>
              <w:t xml:space="preserve">17. Wspieranie aktywności fizycznej i wiedzy nt. zdrowego trybu życia, w szczególności w odniesieniu do uczniów z grup w niekorzystnej sytuacji, w tym zajęcia nt. zdrowej diety, higieny cyfrowej, radzenia sobie ze stresem, budowania relacji i kompetencji społecznych oraz zajęcia sportowe, związane z wyrównywaniem szans/nadrabianiem zaległości po pandemii i nauce zdalnej. </w:t>
            </w:r>
            <w:r>
              <w:br/>
            </w:r>
            <w:r>
              <w:rPr>
                <w:sz w:val="26"/>
              </w:rPr>
              <w:t>18. Dojazdy do szkół dla uczniów szkół ponadpodstawowych z obszarów zmarginalizowanych, o których mowa w dokumencie pn. "Analiza dotycząca obszarów komunikacyjnie wykluczonych w województwie opolskim" i o obniżonej mobilności w celu podniesienia dostępu do edukacji wysokiej jakości.</w:t>
            </w:r>
            <w:r>
              <w:br/>
            </w:r>
            <w:r>
              <w:rPr>
                <w:sz w:val="26"/>
              </w:rPr>
              <w:t>19. Budowanie potencjału organizacji społeczeństwa obywatelskiego do realizacji działań na rzecz edukacji (jako element projektu).</w:t>
            </w:r>
            <w:r>
              <w:br/>
            </w:r>
            <w:r>
              <w:rPr>
                <w:sz w:val="26"/>
              </w:rPr>
              <w:t>20. Dostosowanie i wyposażenie/doposażenie bazy dydaktycznej szkół, w tym do nauczania przedmiotów ścisłych poprzez doświadczenia i eksperymenty, a także w sprzęt TIK, w zakresie niezbędnym do realizacji celu projektu, z uwzględnieniem potrzeb uczniów ze SPE (jako element projektu).</w:t>
            </w:r>
            <w:r>
              <w:br/>
            </w:r>
            <w:r>
              <w:br/>
            </w:r>
            <w:r>
              <w:rPr>
                <w:sz w:val="26"/>
              </w:rPr>
              <w:t xml:space="preserve">Warunki realizacji projektów: </w:t>
            </w:r>
            <w:r>
              <w:br/>
            </w:r>
            <w:r>
              <w:rPr>
                <w:sz w:val="26"/>
              </w:rPr>
              <w:t>1. Działania świadomościowe (kampanie informacyjne i działania upowszechniające) będą możliwe do finans. jedynie, jeśli będą stanowić część projektu i będą uzupełniać działania o charakterze wdrożeniowym w ramach tego projektu z zastrzeżeniem, iż nie mogą przekroczyć 10% kosztów kwalifikowalnych.</w:t>
            </w:r>
            <w:r>
              <w:br/>
            </w:r>
            <w:r>
              <w:rPr>
                <w:sz w:val="26"/>
              </w:rPr>
              <w:t>2. W przypadku tworzenia materiałów (w tym e-materiałów), aplikacji lub narzędzi informat., nie będą one powielały już istniejących i planowanych do stworzenia na poziomie krajowym materiałów, aplikacji i narzędzi. Identyfikacja ryzyka powielania działań przeprowadzana jest w trakcie opracowywania regulaminu wyboru projektów. Wypracowane w ramach reg. programów e-materiały spełniają standardy Zintegrowanej Platformy Edukacyjnej (ZPE) (aktualne na dzień ogłoszenia naboru), tak aby była możliwość ich publikacji na ZPE [3].</w:t>
            </w:r>
            <w:r>
              <w:br/>
            </w:r>
            <w:r>
              <w:rPr>
                <w:sz w:val="26"/>
              </w:rPr>
              <w:t>3. W przypadku wspierania kompetencji cyfrowych wykorzystany zostanie standard kompetencji cyfrow. na podstawie aktualnej na dzień ogłoszenia naboru wersji ramy „DigComp” [4].</w:t>
            </w:r>
            <w:r>
              <w:br/>
            </w:r>
            <w:r>
              <w:rPr>
                <w:sz w:val="26"/>
              </w:rPr>
              <w:t>4. Celem interwencji EFS+ jest wspieranie równego dostępu do dobrej jakości włączającego kształcenia i szkolenia oraz możliwości ich ukończenia, w szczególności w odniesieniu do grup w niekorzystnej sytuacji.</w:t>
            </w:r>
            <w:r>
              <w:br/>
            </w:r>
            <w:r>
              <w:rPr>
                <w:sz w:val="26"/>
              </w:rPr>
              <w:t>5. Grupy w niekorzystnej sytuacji zostały wskazane w dokumencie pn. Analiza grup znajdujących się w niekorzystnej sytuacji w województwie opolskim, który stanowić będzie załącznik do Regulaminu wyboru projektów.</w:t>
            </w:r>
            <w:r>
              <w:br/>
            </w:r>
            <w:r>
              <w:rPr>
                <w:sz w:val="26"/>
              </w:rPr>
              <w:t xml:space="preserve">6. Zakres wsparcia obejmuje w szczególności:  </w:t>
            </w:r>
            <w:r>
              <w:br/>
            </w:r>
            <w:r>
              <w:rPr>
                <w:sz w:val="26"/>
              </w:rPr>
              <w:t>a) wyrównywanie szans edukacyjnych uczniów z obszarów wiejskich oraz z rodzin o niskim statusie społ.-ekonom., przy zapewnieniu braku stygmatyzacji,</w:t>
            </w:r>
            <w:r>
              <w:br/>
            </w:r>
            <w:r>
              <w:rPr>
                <w:sz w:val="26"/>
              </w:rPr>
              <w:t>b) wsparcie placówek systemu oświaty w prowadzeniu skutecznej edu. włączającej.</w:t>
            </w:r>
            <w:r>
              <w:br/>
            </w:r>
            <w:r>
              <w:rPr>
                <w:sz w:val="26"/>
              </w:rPr>
              <w:t>7. W ramach edukacji włączającej (typ projektu nr 6) istnieje możliwość wsparcia uczniów szkół specj. i ich otoczenia (rodziców oraz nauczycieli) przy spełnieniu następujących warunków:</w:t>
            </w:r>
            <w:r>
              <w:br/>
            </w:r>
            <w:r>
              <w:rPr>
                <w:sz w:val="26"/>
              </w:rPr>
              <w:t>a) zajęcia dla uczniów, rodziców i nauczycieli szkół specjalnych ukierunkowane będą na przygotowanie dzieci do przejścia do szkoły ogólnodost., np. zajęcia z logopedą, psychologiem, jak również studia podyplom. i kursy dla nauczycieli z zakresu ped. specjal., w tym oligofrenopedagogiki, surdopedagogiki czy logopedii;</w:t>
            </w:r>
            <w:r>
              <w:br/>
            </w:r>
            <w:r>
              <w:rPr>
                <w:sz w:val="26"/>
              </w:rPr>
              <w:t>b) w przypadku objęcia wsparciem uczniów, rodziców oraz nauczycieli szkół specj., elemen. projektu będą zajęcia integrac. z uczniami, rodzicami i nauczycielami szkół ogólnodost. celem integracji, wymiany doświadczeń i inkluzji.</w:t>
            </w:r>
            <w:r>
              <w:br/>
            </w:r>
            <w:r>
              <w:rPr>
                <w:sz w:val="26"/>
              </w:rPr>
              <w:t>8. Projekty nie powielają działań realizowanych na poziomie krajowym (zarówno ze środków EFS+, jak i źródeł kraj.), w szczeg. w zakresie wsparcia nauczycieli.</w:t>
            </w:r>
            <w:r>
              <w:br/>
            </w:r>
            <w:r>
              <w:rPr>
                <w:sz w:val="26"/>
              </w:rPr>
              <w:t>9. Wsparcie dla danej placówki, jej kadry i uczniów jest realizowane w oparciu o indywidualnie zdiagnozowane potrzeby danej placówki, przede wszystkim w kontekście wyrównywania szans edukacyjnych uczniów.</w:t>
            </w:r>
            <w:r>
              <w:br/>
            </w:r>
            <w:r>
              <w:rPr>
                <w:sz w:val="26"/>
              </w:rPr>
              <w:t>10. Wsparcie w zakresie cyfryzacji danej placówki poprzedzone jest samooceną wykonaną przez placówkę, jej kadrę i uczniów przy wykorzystaniu narzędzia SELFIE [5].</w:t>
            </w:r>
            <w:r>
              <w:br/>
            </w:r>
            <w:r>
              <w:rPr>
                <w:sz w:val="26"/>
              </w:rPr>
              <w:t>11. Działania dot. wsparcia w prowadzeniu skutecznej edu. włączającej:</w:t>
            </w:r>
            <w:r>
              <w:br/>
            </w:r>
            <w:r>
              <w:rPr>
                <w:sz w:val="26"/>
              </w:rPr>
              <w:t>a) dotyczą przede wszystkim grup, które najbardziej potrzebują wsparcia, tj. koncentrują się na uczniach z niepełnospr. lub niedostosowanych społ., lub zagrożonych niedostosowaniem społ (potwierdzone odpowiednim orzeczeniem) i zapewnieniu im pełnego dostępu do edu. ogólnodostępnej, z właściwym wsparciem w ogólnodostępnej szkole lub placówce w zakresie spec. potrzeb psychofiz.</w:t>
            </w:r>
            <w:r>
              <w:br/>
            </w:r>
            <w:r>
              <w:rPr>
                <w:sz w:val="26"/>
              </w:rPr>
              <w:t>b) zapewniają przestrzegania zasady projektowania uniwersalnego w nauczaniu (ULD–universal learning design),</w:t>
            </w:r>
            <w:r>
              <w:br/>
            </w:r>
            <w:r>
              <w:rPr>
                <w:sz w:val="26"/>
              </w:rPr>
              <w:t>c) nie wspierają segregacji w placówkach systemu oświaty.</w:t>
            </w:r>
            <w:r>
              <w:br/>
            </w:r>
            <w:r>
              <w:rPr>
                <w:sz w:val="26"/>
              </w:rPr>
              <w:t>12. Doradztwo zawod. w ramach kształcenia ogóln. jest wolne od stereotypów płciowych w wyborze ścieżek edu. i zawod., a także wspiera przełamywanie tych stereotypów oraz zdobywanie kompetencji STEM i STEAM, szczególnie przez uczennice.</w:t>
            </w:r>
            <w:r>
              <w:br/>
            </w:r>
            <w:r>
              <w:rPr>
                <w:sz w:val="26"/>
              </w:rPr>
              <w:t>13. Pozostałe warunki niezbędne do realizacji proj. niewskazane w SZOP 2021-2027 dla działania określone są w pozostałych dokumentach IZ FEO niezbędnych dla przeprowadzenia postępowania konkurencyjnego/niekonkurencyjnego, w tym w Regulaminie wyboru projektów/umowie o dofinansowanie/decyzji o dofinansowaniu.</w:t>
            </w:r>
            <w:r>
              <w:br/>
            </w:r>
            <w:r>
              <w:rPr>
                <w:sz w:val="26"/>
              </w:rPr>
              <w:t>[1] https://www.ore.edu.pl/category/projekty-po-wer/szkola-cwiczen/</w:t>
            </w:r>
            <w:r>
              <w:br/>
            </w:r>
            <w:r>
              <w:rPr>
                <w:sz w:val="26"/>
              </w:rPr>
              <w:t>[2] https://infozawodowe.mein.gov.pl/</w:t>
            </w:r>
            <w:r>
              <w:br/>
            </w:r>
            <w:r>
              <w:rPr>
                <w:sz w:val="26"/>
              </w:rPr>
              <w:t>[3] https://zpe.gov.pl/a/standardy-techniczne/DpbQtmDTi</w:t>
            </w:r>
            <w:r>
              <w:br/>
            </w:r>
            <w:r>
              <w:rPr>
                <w:sz w:val="26"/>
              </w:rPr>
              <w:t>[4] https://joint-research-centre.ec.europa.eu/digcomp_en. W przypadku gdy na dzień ogłoszenia</w:t>
            </w:r>
            <w:r>
              <w:br/>
            </w:r>
            <w:r>
              <w:rPr>
                <w:sz w:val="26"/>
              </w:rPr>
              <w:t>naboru aktualna wersja ramy nie jest przetłumaczona na język polski, IZ RP wykorzystują najaktualniejszą przetłumaczoną wersję ramy (http://www.digcomp.pl/)</w:t>
            </w:r>
            <w:r>
              <w:br/>
            </w:r>
            <w:r>
              <w:rPr>
                <w:sz w:val="26"/>
              </w:rPr>
              <w:t>[5] https://education.ec.europa.eu/pl/selfie</w:t>
            </w:r>
            <w:r>
              <w:br/>
            </w:r>
            <w:r>
              <w:br/>
            </w:r>
          </w:p>
        </w:tc>
      </w:tr>
      <w:tr w:rsidR="005C7739" w14:paraId="5E27B60C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3A11F66E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Maksymalny % poziom dofinansowania UE w projekcie</w:t>
            </w:r>
          </w:p>
        </w:tc>
      </w:tr>
      <w:tr w:rsidR="005C7739" w14:paraId="25F27A8D" w14:textId="77777777" w:rsidTr="0035369C">
        <w:tc>
          <w:tcPr>
            <w:tcW w:w="9062" w:type="dxa"/>
          </w:tcPr>
          <w:p w14:paraId="347FCD44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85</w:t>
            </w:r>
          </w:p>
        </w:tc>
      </w:tr>
      <w:tr w:rsidR="005C7739" w14:paraId="570ED121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62544CAF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Maksymalny % poziom dofinansowania całkowitego wydatków kwalifikowalnych na poziomie projektu (środki UE + współfinansowanie ze środków krajowych przyznane beneficjentowi przez właściwą instytucję)</w:t>
            </w:r>
          </w:p>
        </w:tc>
      </w:tr>
      <w:tr w:rsidR="005C7739" w14:paraId="51B9ABE6" w14:textId="77777777" w:rsidTr="0035369C">
        <w:tc>
          <w:tcPr>
            <w:tcW w:w="9062" w:type="dxa"/>
          </w:tcPr>
          <w:p w14:paraId="6E79CCFB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90</w:t>
            </w:r>
          </w:p>
        </w:tc>
      </w:tr>
      <w:tr w:rsidR="005C7739" w14:paraId="54E29E28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5B0473FD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Pomoc publiczna – unijna podstawa prawna</w:t>
            </w:r>
          </w:p>
        </w:tc>
      </w:tr>
      <w:tr w:rsidR="005C7739" w14:paraId="12A05F4F" w14:textId="77777777" w:rsidTr="0035369C">
        <w:tc>
          <w:tcPr>
            <w:tcW w:w="9062" w:type="dxa"/>
          </w:tcPr>
          <w:p w14:paraId="14DA37EE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Bez pomocy, Rozporządzenie Komisji (UE) 2023/2831 z dnia 13 grudnia 2023 r. w sprawie stosowania art. 107 i 108 Traktatu o funkcjonowaniu Unii Europejskiej do pomocy de minimis (Dz. Urz. UE L z 15.12.2023), Rozporządzenie Komisji (UE) nr 651/2014 z dnia 17 czerwca 2014 r. uznające niektóre rodzaje pomocy za zgodne z rynkiem wewnętrznym w zastosowaniu art. 107 i 108 Traktatu (Dz. Urz. UE L 187 z 26.06.2014, str. 1, z późn. zm.)</w:t>
            </w:r>
          </w:p>
        </w:tc>
      </w:tr>
      <w:tr w:rsidR="005C7739" w14:paraId="7FD4BA04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2D7515DE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Pomoc publiczna – krajowa podstawa prawna</w:t>
            </w:r>
          </w:p>
        </w:tc>
      </w:tr>
      <w:tr w:rsidR="005C7739" w14:paraId="226CFD14" w14:textId="77777777" w:rsidTr="0035369C">
        <w:tc>
          <w:tcPr>
            <w:tcW w:w="9062" w:type="dxa"/>
          </w:tcPr>
          <w:p w14:paraId="1EF11986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Bez pomocy, Rozporządzenie Ministra Funduszy i Polityki Regionalnej z dnia 20 grudnia 2022 r. w sprawie udzielania pomocy de minimis oraz pomocy publicznej w ramach programów finansowanych z Europejskiego Funduszu Społecznego Plus (EFS+) na lata 2021–2027 (Dz.U. 2025 poz. 37)</w:t>
            </w:r>
          </w:p>
        </w:tc>
      </w:tr>
      <w:tr w:rsidR="005C7739" w14:paraId="0698EEB5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4A35A21C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Uproszczone metody rozliczania</w:t>
            </w:r>
          </w:p>
        </w:tc>
      </w:tr>
      <w:tr w:rsidR="005C7739" w14:paraId="08D6578D" w14:textId="77777777" w:rsidTr="0035369C">
        <w:tc>
          <w:tcPr>
            <w:tcW w:w="9062" w:type="dxa"/>
          </w:tcPr>
          <w:p w14:paraId="340A43C3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do 25% stawka ryczałtowa na koszty pośrednie w oparciu o metodykę IZ (podstawa wyliczenia: koszty bezpośrednie) [art. 54(c) CPR], stawka jednostkowa w oparciu o metodykę IZ [art. 53(3)(a) CPR]</w:t>
            </w:r>
          </w:p>
        </w:tc>
      </w:tr>
      <w:tr w:rsidR="005C7739" w14:paraId="1274E2F4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21E9692F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Forma wsparcia</w:t>
            </w:r>
          </w:p>
        </w:tc>
      </w:tr>
      <w:tr w:rsidR="005C7739" w14:paraId="349A0075" w14:textId="77777777" w:rsidTr="0035369C">
        <w:tc>
          <w:tcPr>
            <w:tcW w:w="9062" w:type="dxa"/>
          </w:tcPr>
          <w:p w14:paraId="29336AEE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Dotacja</w:t>
            </w:r>
          </w:p>
        </w:tc>
      </w:tr>
      <w:tr w:rsidR="005C7739" w14:paraId="746914DB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131053BC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Dopuszczalny cross-financing (%)</w:t>
            </w:r>
          </w:p>
        </w:tc>
      </w:tr>
      <w:tr w:rsidR="005C7739" w14:paraId="2DBACFEE" w14:textId="77777777" w:rsidTr="0035369C">
        <w:tc>
          <w:tcPr>
            <w:tcW w:w="9062" w:type="dxa"/>
          </w:tcPr>
          <w:p w14:paraId="7E521349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5C7739" w14:paraId="723A5D5E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72C7B367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Minimalny wkład własny beneficjenta</w:t>
            </w:r>
          </w:p>
        </w:tc>
      </w:tr>
      <w:tr w:rsidR="005C7739" w14:paraId="20446D61" w14:textId="77777777" w:rsidTr="0035369C">
        <w:tc>
          <w:tcPr>
            <w:tcW w:w="9062" w:type="dxa"/>
          </w:tcPr>
          <w:p w14:paraId="441CCF2B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10%</w:t>
            </w:r>
          </w:p>
        </w:tc>
      </w:tr>
      <w:tr w:rsidR="005C7739" w14:paraId="2E4CA674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7C24E406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Sposób wyboru projektów</w:t>
            </w:r>
          </w:p>
        </w:tc>
      </w:tr>
      <w:tr w:rsidR="005C7739" w14:paraId="39A416C6" w14:textId="77777777" w:rsidTr="0035369C">
        <w:tc>
          <w:tcPr>
            <w:tcW w:w="9062" w:type="dxa"/>
          </w:tcPr>
          <w:p w14:paraId="4D9A75C0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Konkurencyjny, Niekonkurencyjny</w:t>
            </w:r>
          </w:p>
        </w:tc>
      </w:tr>
      <w:tr w:rsidR="005C7739" w14:paraId="19626EC2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670A8378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Realizacja instrumentów terytorialnych</w:t>
            </w:r>
          </w:p>
        </w:tc>
      </w:tr>
      <w:tr w:rsidR="005C7739" w14:paraId="5A8175A3" w14:textId="77777777" w:rsidTr="0035369C">
        <w:tc>
          <w:tcPr>
            <w:tcW w:w="9062" w:type="dxa"/>
          </w:tcPr>
          <w:p w14:paraId="703FCBFC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Nie dotyczy</w:t>
            </w:r>
          </w:p>
        </w:tc>
      </w:tr>
      <w:tr w:rsidR="005C7739" w14:paraId="6E2992C1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338AC80E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Typ beneficjenta – ogólny</w:t>
            </w:r>
          </w:p>
        </w:tc>
      </w:tr>
      <w:tr w:rsidR="005C7739" w14:paraId="4FB813F3" w14:textId="77777777" w:rsidTr="0035369C">
        <w:tc>
          <w:tcPr>
            <w:tcW w:w="9062" w:type="dxa"/>
          </w:tcPr>
          <w:p w14:paraId="4BEFF5DE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Administracja publiczna, Instytucje nauki i edukacji, Organizacje społeczne i związki wyznaniowe, Przedsiębiorstwa</w:t>
            </w:r>
          </w:p>
        </w:tc>
      </w:tr>
      <w:tr w:rsidR="005C7739" w14:paraId="758BDBDA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63E223FF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Typ beneficjenta – szczegółowy</w:t>
            </w:r>
          </w:p>
        </w:tc>
      </w:tr>
      <w:tr w:rsidR="005C7739" w14:paraId="33AFC013" w14:textId="77777777" w:rsidTr="0035369C">
        <w:tc>
          <w:tcPr>
            <w:tcW w:w="9062" w:type="dxa"/>
          </w:tcPr>
          <w:p w14:paraId="117E41D2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Duże przedsiębiorstwa, Jednostki Samorządu Terytorialnego, MŚP, Organizacje pozarządowe, Ośrodki kształcenia dorosłych, Szkoły i inne placówki systemu oświaty</w:t>
            </w:r>
          </w:p>
        </w:tc>
      </w:tr>
      <w:tr w:rsidR="005C7739" w14:paraId="5865E772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786867E0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Grupa docelowa</w:t>
            </w:r>
          </w:p>
        </w:tc>
      </w:tr>
      <w:tr w:rsidR="005C7739" w14:paraId="663F5BC7" w14:textId="77777777" w:rsidTr="0035369C">
        <w:tc>
          <w:tcPr>
            <w:tcW w:w="9062" w:type="dxa"/>
          </w:tcPr>
          <w:p w14:paraId="586CEFFB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nauczyciele i kadra zarządzająca, wspierająca i organizująca proces nauczania szkół/ placówek systemu oświaty na poziomie podstawowym, nauczyciele i kadra zarządzająca, wspierająca i organizująca proces nauczania szkół/ placówek systemu oświaty na poziomie ponadpodstawowym, organizacje społeczeństwa obywatelskiego, psychologowie i pedagodzy wspierający uczniów, rodzice i opiekunowie prawni dzieci i młodzieży, szkoły lub placówki kształcenia ogólnego (z wyłączeniem specjalnych), uczniowie i słuchacze szkół lub placówek systemu oświaty, uczniowie, ich rodzice i opiekunowie prawni oraz kadra (w tym nauczyciele) szkół specjalnych</w:t>
            </w:r>
          </w:p>
        </w:tc>
      </w:tr>
      <w:tr w:rsidR="005C7739" w14:paraId="46D621AC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27B0DB34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Słowa kluczowe</w:t>
            </w:r>
          </w:p>
        </w:tc>
      </w:tr>
      <w:tr w:rsidR="005C7739" w14:paraId="076F8A0D" w14:textId="77777777" w:rsidTr="0035369C">
        <w:tc>
          <w:tcPr>
            <w:tcW w:w="9062" w:type="dxa"/>
          </w:tcPr>
          <w:p w14:paraId="1FD69DC6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doradztwo_zawodowe, edukacja, edukacja_ekologiczna, edukacja_włączająca, kompetencje, kompetencje_kluczowe, kompetencje_społeczne, kwalifikacje, liceum, szkoła_podstawowa</w:t>
            </w:r>
          </w:p>
        </w:tc>
      </w:tr>
      <w:tr w:rsidR="005C7739" w14:paraId="437A0770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5D0FD562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Wielkość podmiotu (w przypadku przedsiębiorstw)</w:t>
            </w:r>
          </w:p>
        </w:tc>
      </w:tr>
      <w:tr w:rsidR="005C7739" w14:paraId="26642049" w14:textId="77777777" w:rsidTr="0035369C">
        <w:tc>
          <w:tcPr>
            <w:tcW w:w="9062" w:type="dxa"/>
          </w:tcPr>
          <w:p w14:paraId="3B7C30AD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Duże, Małe, Mikro, Średnie</w:t>
            </w:r>
          </w:p>
        </w:tc>
      </w:tr>
      <w:tr w:rsidR="005C7739" w14:paraId="67F5BFC0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6A375647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Kryteria wyboru projektów</w:t>
            </w:r>
          </w:p>
        </w:tc>
      </w:tr>
      <w:tr w:rsidR="005C7739" w14:paraId="3A4A390E" w14:textId="77777777" w:rsidTr="0035369C">
        <w:tc>
          <w:tcPr>
            <w:tcW w:w="9062" w:type="dxa"/>
          </w:tcPr>
          <w:p w14:paraId="59CA2069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https://funduszeue.opolskie.pl/komitet-monitorujacy-feo-2021-2027</w:t>
            </w:r>
          </w:p>
        </w:tc>
      </w:tr>
      <w:tr w:rsidR="005C7739" w14:paraId="403EF140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4C7BB0EA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Wskaźniki produktu</w:t>
            </w:r>
          </w:p>
        </w:tc>
      </w:tr>
      <w:tr w:rsidR="005C7739" w14:paraId="7FE5438F" w14:textId="77777777" w:rsidTr="0035369C">
        <w:tc>
          <w:tcPr>
            <w:tcW w:w="9062" w:type="dxa"/>
          </w:tcPr>
          <w:p w14:paraId="49BA01D6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WLWK-PLFCO09 - Liczba dzieci lub uczniów o specjalnych potrzebach rozwojowych i edukacyjnych, którzy zostali objęci usługami asystenta</w:t>
            </w:r>
          </w:p>
        </w:tc>
      </w:tr>
      <w:tr w:rsidR="005C7739" w14:paraId="3B2DD443" w14:textId="77777777" w:rsidTr="0035369C">
        <w:tc>
          <w:tcPr>
            <w:tcW w:w="9062" w:type="dxa"/>
          </w:tcPr>
          <w:p w14:paraId="195DB678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WLWK-PLFCO08 - Liczba dzieci/uczniów o specjalnych potrzebach rozwojowych i edukacyjnych, objętych wsparciem</w:t>
            </w:r>
          </w:p>
        </w:tc>
      </w:tr>
      <w:tr w:rsidR="005C7739" w14:paraId="52068F82" w14:textId="77777777" w:rsidTr="0035369C">
        <w:tc>
          <w:tcPr>
            <w:tcW w:w="9062" w:type="dxa"/>
          </w:tcPr>
          <w:p w14:paraId="6834F0CB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WLWK-PL0CO02 - Liczba obiektów dostosowanych do potrzeb osób z niepełnosprawnościami</w:t>
            </w:r>
          </w:p>
        </w:tc>
      </w:tr>
      <w:tr w:rsidR="005C7739" w14:paraId="35CBBBD1" w14:textId="77777777" w:rsidTr="0035369C">
        <w:tc>
          <w:tcPr>
            <w:tcW w:w="9062" w:type="dxa"/>
          </w:tcPr>
          <w:p w14:paraId="60BC606A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WLWK-PLFCO10 - Liczba obiektów edukacyjnych dostosowanych do potrzeb osób z niepełnosprawnościami</w:t>
            </w:r>
          </w:p>
        </w:tc>
      </w:tr>
      <w:tr w:rsidR="005C7739" w14:paraId="340CBDD5" w14:textId="77777777" w:rsidTr="0035369C">
        <w:tc>
          <w:tcPr>
            <w:tcW w:w="9062" w:type="dxa"/>
          </w:tcPr>
          <w:p w14:paraId="63F11DAF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WLWK-EECO18 - Liczba objętych wsparciem podmiotów administracji publicznej lub służb publicznych na szczeblu krajowym, regionalnym lub lokalnym</w:t>
            </w:r>
          </w:p>
        </w:tc>
      </w:tr>
      <w:tr w:rsidR="005C7739" w14:paraId="66F81956" w14:textId="77777777" w:rsidTr="0035369C">
        <w:tc>
          <w:tcPr>
            <w:tcW w:w="9062" w:type="dxa"/>
          </w:tcPr>
          <w:p w14:paraId="67DB6680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WLWK-PLFCO12 - Liczba ogólnodostępnych szkół i placówek systemu oświaty objętych wsparciem w zakresie edukacji włączającej</w:t>
            </w:r>
          </w:p>
        </w:tc>
      </w:tr>
      <w:tr w:rsidR="005C7739" w14:paraId="7005DDCE" w14:textId="77777777" w:rsidTr="0035369C">
        <w:tc>
          <w:tcPr>
            <w:tcW w:w="9062" w:type="dxa"/>
          </w:tcPr>
          <w:p w14:paraId="56F0D41A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WLWK-EECO15 - Liczba osób należących do mniejszości, w tym społeczności marginalizowanych takich jak Romowie, objętych wsparciem w programie</w:t>
            </w:r>
          </w:p>
        </w:tc>
      </w:tr>
      <w:tr w:rsidR="005C7739" w14:paraId="295D337D" w14:textId="77777777" w:rsidTr="0035369C">
        <w:tc>
          <w:tcPr>
            <w:tcW w:w="9062" w:type="dxa"/>
          </w:tcPr>
          <w:p w14:paraId="2C1B2B69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WLWK-EECO14 - Liczba osób obcego pochodzenia objętych wsparciem w programie</w:t>
            </w:r>
          </w:p>
        </w:tc>
      </w:tr>
      <w:tr w:rsidR="005C7739" w14:paraId="76A4ECEB" w14:textId="77777777" w:rsidTr="0035369C">
        <w:tc>
          <w:tcPr>
            <w:tcW w:w="9062" w:type="dxa"/>
          </w:tcPr>
          <w:p w14:paraId="778CFBCD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WLWK-EECO16 - Liczba osób w kryzysie bezdomności lub dotkniętych wykluczeniem z dostępu do mieszkań, objętych wsparciem w programie</w:t>
            </w:r>
          </w:p>
        </w:tc>
      </w:tr>
      <w:tr w:rsidR="005C7739" w14:paraId="1EB00100" w14:textId="77777777" w:rsidTr="0035369C">
        <w:tc>
          <w:tcPr>
            <w:tcW w:w="9062" w:type="dxa"/>
          </w:tcPr>
          <w:p w14:paraId="3021E08B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WLWK-EECO13 - Liczba osób z krajów trzecich objętych wsparciem w programie</w:t>
            </w:r>
          </w:p>
        </w:tc>
      </w:tr>
      <w:tr w:rsidR="005C7739" w14:paraId="1BD9ABDD" w14:textId="77777777" w:rsidTr="0035369C">
        <w:tc>
          <w:tcPr>
            <w:tcW w:w="9062" w:type="dxa"/>
          </w:tcPr>
          <w:p w14:paraId="612321EF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WLWK-EECO12 - Liczba osób z niepełnosprawnościami objętych wsparciem w programie</w:t>
            </w:r>
          </w:p>
        </w:tc>
      </w:tr>
      <w:tr w:rsidR="005C7739" w14:paraId="6DBEDD3A" w14:textId="77777777" w:rsidTr="0035369C">
        <w:tc>
          <w:tcPr>
            <w:tcW w:w="9062" w:type="dxa"/>
          </w:tcPr>
          <w:p w14:paraId="08A2EF31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WLWK-PL0CO01 - Liczba projektów, w których sfinansowano koszty racjonalnych usprawnień dla osób z niepełnosprawnościami</w:t>
            </w:r>
          </w:p>
        </w:tc>
      </w:tr>
      <w:tr w:rsidR="005C7739" w14:paraId="1CEAB327" w14:textId="77777777" w:rsidTr="0035369C">
        <w:tc>
          <w:tcPr>
            <w:tcW w:w="9062" w:type="dxa"/>
          </w:tcPr>
          <w:p w14:paraId="4E39DD46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WLWK-PLFCO14 - Liczba przedstawicieli kadr szkół i placówek systemu oświaty objętych wsparciem świadczonym przez szkoły ćwiczeń</w:t>
            </w:r>
          </w:p>
        </w:tc>
      </w:tr>
      <w:tr w:rsidR="005C7739" w14:paraId="3C2A907F" w14:textId="77777777" w:rsidTr="0035369C">
        <w:tc>
          <w:tcPr>
            <w:tcW w:w="9062" w:type="dxa"/>
          </w:tcPr>
          <w:p w14:paraId="72E7A825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WLWK-PLFCO06 - Liczba przedstawicieli kadry szkół i placówek systemu oświaty objętych wsparciem</w:t>
            </w:r>
          </w:p>
        </w:tc>
      </w:tr>
      <w:tr w:rsidR="005C7739" w14:paraId="4BD3CAE3" w14:textId="77777777" w:rsidTr="0035369C">
        <w:tc>
          <w:tcPr>
            <w:tcW w:w="9062" w:type="dxa"/>
          </w:tcPr>
          <w:p w14:paraId="47F6381F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WLWK-PLFCO07 - Liczba szkół i placówek systemu oświaty objętych wsparciem</w:t>
            </w:r>
          </w:p>
        </w:tc>
      </w:tr>
      <w:tr w:rsidR="005C7739" w14:paraId="0C87361D" w14:textId="77777777" w:rsidTr="0035369C">
        <w:tc>
          <w:tcPr>
            <w:tcW w:w="9062" w:type="dxa"/>
          </w:tcPr>
          <w:p w14:paraId="171B4733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WLWK-PLFCO03 - Liczba uczniów szkół i placówek systemu oświaty prowadzących kształcenie ogólne objętych wsparciem</w:t>
            </w:r>
          </w:p>
        </w:tc>
      </w:tr>
      <w:tr w:rsidR="005C7739" w14:paraId="6BA93FC7" w14:textId="77777777" w:rsidTr="0035369C">
        <w:tc>
          <w:tcPr>
            <w:tcW w:w="9062" w:type="dxa"/>
            <w:shd w:val="clear" w:color="auto" w:fill="F2F2F2" w:themeFill="light1" w:themeFillShade="F2"/>
          </w:tcPr>
          <w:p w14:paraId="3A33AE0F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Wskaźniki rezultatu</w:t>
            </w:r>
          </w:p>
        </w:tc>
      </w:tr>
      <w:tr w:rsidR="005C7739" w14:paraId="4C93D0AF" w14:textId="77777777" w:rsidTr="0035369C">
        <w:tc>
          <w:tcPr>
            <w:tcW w:w="9062" w:type="dxa"/>
          </w:tcPr>
          <w:p w14:paraId="57009653" w14:textId="77777777" w:rsidR="005C7739" w:rsidRDefault="005C7739" w:rsidP="0035369C">
            <w:pPr>
              <w:spacing w:before="60"/>
              <w:rPr>
                <w:b/>
                <w:sz w:val="26"/>
              </w:rPr>
            </w:pPr>
            <w:r>
              <w:rPr>
                <w:sz w:val="26"/>
              </w:rPr>
              <w:t>WLWK-PLFCR02 - Liczba przedstawicieli kadry szkół i placówek systemu oświaty, którzy uzyskali kwalifikacje po opuszczeniu programu</w:t>
            </w:r>
          </w:p>
        </w:tc>
      </w:tr>
      <w:tr w:rsidR="005C7739" w14:paraId="34ED149F" w14:textId="77777777" w:rsidTr="0035369C">
        <w:tc>
          <w:tcPr>
            <w:tcW w:w="9062" w:type="dxa"/>
          </w:tcPr>
          <w:p w14:paraId="5DB99DF1" w14:textId="77777777" w:rsidR="005C7739" w:rsidRDefault="005C7739" w:rsidP="0035369C">
            <w:pPr>
              <w:spacing w:before="60"/>
              <w:rPr>
                <w:sz w:val="26"/>
              </w:rPr>
            </w:pPr>
            <w:r>
              <w:rPr>
                <w:sz w:val="26"/>
              </w:rPr>
              <w:t>WLWK-PLFCR01 - Liczba uczniów, którzy nabyli kwalifikacje po opuszczeniu programu</w:t>
            </w:r>
          </w:p>
        </w:tc>
      </w:tr>
    </w:tbl>
    <w:p w14:paraId="78076B1A" w14:textId="0D51605A" w:rsidR="00CD445C" w:rsidRPr="00CD445C" w:rsidRDefault="00CD445C" w:rsidP="008F0052">
      <w:pPr>
        <w:keepNext/>
        <w:spacing w:before="240" w:after="0" w:line="276" w:lineRule="auto"/>
        <w:outlineLvl w:val="2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sectPr w:rsidR="00CD445C" w:rsidRPr="00CD445C" w:rsidSect="005072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72876" w14:textId="77777777" w:rsidR="007319B9" w:rsidRDefault="007319B9" w:rsidP="002119AC">
      <w:pPr>
        <w:spacing w:after="0" w:line="240" w:lineRule="auto"/>
      </w:pPr>
      <w:r>
        <w:separator/>
      </w:r>
    </w:p>
  </w:endnote>
  <w:endnote w:type="continuationSeparator" w:id="0">
    <w:p w14:paraId="697DFB5D" w14:textId="77777777" w:rsidR="007319B9" w:rsidRDefault="007319B9" w:rsidP="0021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E2D43" w14:textId="77777777" w:rsidR="009E7E14" w:rsidRDefault="009E7E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321B6" w14:textId="77777777" w:rsidR="009E7E14" w:rsidRDefault="009E7E1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DB9DA" w14:textId="77777777" w:rsidR="009E7E14" w:rsidRDefault="009E7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F78C1" w14:textId="77777777" w:rsidR="007319B9" w:rsidRDefault="007319B9" w:rsidP="002119AC">
      <w:pPr>
        <w:spacing w:after="0" w:line="240" w:lineRule="auto"/>
      </w:pPr>
      <w:r>
        <w:separator/>
      </w:r>
    </w:p>
  </w:footnote>
  <w:footnote w:type="continuationSeparator" w:id="0">
    <w:p w14:paraId="7FDD7A3D" w14:textId="77777777" w:rsidR="007319B9" w:rsidRDefault="007319B9" w:rsidP="0021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CA39E" w14:textId="77777777" w:rsidR="009E7E14" w:rsidRDefault="009E7E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CC712" w14:textId="77777777" w:rsidR="009E7E14" w:rsidRDefault="009E7E1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1E2B0" w14:textId="0695E1AD" w:rsidR="003F5894" w:rsidRDefault="003F5894" w:rsidP="003F5894">
    <w:pPr>
      <w:pStyle w:val="Nagwek"/>
      <w:rPr>
        <w:b/>
        <w:bCs/>
        <w:iCs/>
        <w:sz w:val="24"/>
        <w:szCs w:val="24"/>
      </w:rPr>
    </w:pPr>
    <w:r>
      <w:rPr>
        <w:b/>
        <w:bCs/>
        <w:iCs/>
        <w:sz w:val="24"/>
        <w:szCs w:val="24"/>
      </w:rPr>
      <w:t>Załącznik nr</w:t>
    </w:r>
    <w:r w:rsidR="009E7E14">
      <w:rPr>
        <w:b/>
        <w:bCs/>
        <w:iCs/>
        <w:sz w:val="24"/>
        <w:szCs w:val="24"/>
      </w:rPr>
      <w:t xml:space="preserve"> </w:t>
    </w:r>
    <w:r>
      <w:rPr>
        <w:b/>
        <w:bCs/>
        <w:iCs/>
        <w:sz w:val="24"/>
        <w:szCs w:val="24"/>
      </w:rPr>
      <w:t>10 do Regulaminu wyboru projektów dotyczący projektów złożonych w ramach postępowania konkurencyjnego dla działania 5.7 Kształcenie ogólne, priorytetu 5 Fundusze Europejskie wspierające opolski rynek pracy i edukację programu regionalnego FEO 2021-2027 dla naborów nr: FEOP.05.07-IP.02-001/26, FEOP.05.07-IP.02-002/26, FEOP.05.07-IP.02-003/26, FEOP.05.07-IP.02-004/26, FEOP.05.07-IP.02-005/26.</w:t>
    </w:r>
  </w:p>
  <w:p w14:paraId="4BC6CFDA" w14:textId="77777777" w:rsidR="005072F2" w:rsidRPr="005072F2" w:rsidRDefault="005072F2" w:rsidP="005072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D85"/>
    <w:multiLevelType w:val="hybridMultilevel"/>
    <w:tmpl w:val="A23E8F8E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22FE8"/>
    <w:multiLevelType w:val="hybridMultilevel"/>
    <w:tmpl w:val="0FB4DD20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C7CF6"/>
    <w:multiLevelType w:val="hybridMultilevel"/>
    <w:tmpl w:val="6472019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4B3B9F"/>
    <w:multiLevelType w:val="hybridMultilevel"/>
    <w:tmpl w:val="2364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03BF7"/>
    <w:multiLevelType w:val="hybridMultilevel"/>
    <w:tmpl w:val="8D242E40"/>
    <w:lvl w:ilvl="0" w:tplc="D76AB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E0C7A3B"/>
    <w:multiLevelType w:val="hybridMultilevel"/>
    <w:tmpl w:val="C0DE9E60"/>
    <w:lvl w:ilvl="0" w:tplc="6AA6FC0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C0746E"/>
    <w:multiLevelType w:val="hybridMultilevel"/>
    <w:tmpl w:val="CB6A3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A4D3E"/>
    <w:multiLevelType w:val="hybridMultilevel"/>
    <w:tmpl w:val="9BBE6956"/>
    <w:lvl w:ilvl="0" w:tplc="8822F920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0D1F33"/>
    <w:multiLevelType w:val="hybridMultilevel"/>
    <w:tmpl w:val="1A9410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751A7E"/>
    <w:multiLevelType w:val="hybridMultilevel"/>
    <w:tmpl w:val="07CC7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96945"/>
    <w:multiLevelType w:val="hybridMultilevel"/>
    <w:tmpl w:val="23D05F40"/>
    <w:lvl w:ilvl="0" w:tplc="9FDA00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E36A5"/>
    <w:multiLevelType w:val="hybridMultilevel"/>
    <w:tmpl w:val="378E8A12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60941"/>
    <w:multiLevelType w:val="hybridMultilevel"/>
    <w:tmpl w:val="5D669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93CD3"/>
    <w:multiLevelType w:val="hybridMultilevel"/>
    <w:tmpl w:val="24F41C7E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D7B80"/>
    <w:multiLevelType w:val="hybridMultilevel"/>
    <w:tmpl w:val="7B56F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67782"/>
    <w:multiLevelType w:val="hybridMultilevel"/>
    <w:tmpl w:val="11E4CE0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98B2022"/>
    <w:multiLevelType w:val="hybridMultilevel"/>
    <w:tmpl w:val="CE681A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B061C51"/>
    <w:multiLevelType w:val="hybridMultilevel"/>
    <w:tmpl w:val="B2F4F05C"/>
    <w:lvl w:ilvl="0" w:tplc="BB5435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4507F"/>
    <w:multiLevelType w:val="hybridMultilevel"/>
    <w:tmpl w:val="96DC132A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E2C13"/>
    <w:multiLevelType w:val="hybridMultilevel"/>
    <w:tmpl w:val="922070D8"/>
    <w:lvl w:ilvl="0" w:tplc="0BFE8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B708B6"/>
    <w:multiLevelType w:val="hybridMultilevel"/>
    <w:tmpl w:val="FBE64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96411"/>
    <w:multiLevelType w:val="hybridMultilevel"/>
    <w:tmpl w:val="20828CFA"/>
    <w:lvl w:ilvl="0" w:tplc="E15E87BE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F035A7F"/>
    <w:multiLevelType w:val="hybridMultilevel"/>
    <w:tmpl w:val="2362EB9A"/>
    <w:lvl w:ilvl="0" w:tplc="04150017">
      <w:start w:val="1"/>
      <w:numFmt w:val="lowerLetter"/>
      <w:lvlText w:val="%1)"/>
      <w:lvlJc w:val="left"/>
      <w:pPr>
        <w:ind w:left="844" w:hanging="360"/>
      </w:p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21"/>
  </w:num>
  <w:num w:numId="10">
    <w:abstractNumId w:val="19"/>
  </w:num>
  <w:num w:numId="11">
    <w:abstractNumId w:val="13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15"/>
  </w:num>
  <w:num w:numId="17">
    <w:abstractNumId w:val="2"/>
  </w:num>
  <w:num w:numId="18">
    <w:abstractNumId w:val="14"/>
  </w:num>
  <w:num w:numId="19">
    <w:abstractNumId w:val="22"/>
  </w:num>
  <w:num w:numId="20">
    <w:abstractNumId w:val="12"/>
  </w:num>
  <w:num w:numId="21">
    <w:abstractNumId w:val="20"/>
  </w:num>
  <w:num w:numId="22">
    <w:abstractNumId w:val="3"/>
  </w:num>
  <w:num w:numId="2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Langner">
    <w15:presenceInfo w15:providerId="AD" w15:userId="S-1-5-21-2587086642-3037542290-378664919-202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AC"/>
    <w:rsid w:val="00001C98"/>
    <w:rsid w:val="00011015"/>
    <w:rsid w:val="000301F2"/>
    <w:rsid w:val="00036BD9"/>
    <w:rsid w:val="000401DA"/>
    <w:rsid w:val="00066B6F"/>
    <w:rsid w:val="000A1D14"/>
    <w:rsid w:val="000B5D44"/>
    <w:rsid w:val="000C1041"/>
    <w:rsid w:val="000E4E65"/>
    <w:rsid w:val="001119B8"/>
    <w:rsid w:val="00113E62"/>
    <w:rsid w:val="001154E6"/>
    <w:rsid w:val="00121336"/>
    <w:rsid w:val="00124696"/>
    <w:rsid w:val="00140708"/>
    <w:rsid w:val="00151083"/>
    <w:rsid w:val="00180F57"/>
    <w:rsid w:val="0018393B"/>
    <w:rsid w:val="001B3B9A"/>
    <w:rsid w:val="001B40A4"/>
    <w:rsid w:val="001C278C"/>
    <w:rsid w:val="001D1414"/>
    <w:rsid w:val="001D3E3E"/>
    <w:rsid w:val="001E5313"/>
    <w:rsid w:val="001E77AC"/>
    <w:rsid w:val="00203A10"/>
    <w:rsid w:val="002119AC"/>
    <w:rsid w:val="002412A7"/>
    <w:rsid w:val="002744CD"/>
    <w:rsid w:val="002753D6"/>
    <w:rsid w:val="00281485"/>
    <w:rsid w:val="002A2454"/>
    <w:rsid w:val="002A28CA"/>
    <w:rsid w:val="002B02F9"/>
    <w:rsid w:val="002B337F"/>
    <w:rsid w:val="002C4A3A"/>
    <w:rsid w:val="002D4AB7"/>
    <w:rsid w:val="002E286D"/>
    <w:rsid w:val="00301B54"/>
    <w:rsid w:val="003271D3"/>
    <w:rsid w:val="00352817"/>
    <w:rsid w:val="00360B2C"/>
    <w:rsid w:val="003661E6"/>
    <w:rsid w:val="00393474"/>
    <w:rsid w:val="003D150E"/>
    <w:rsid w:val="003D52F9"/>
    <w:rsid w:val="003F5894"/>
    <w:rsid w:val="00402143"/>
    <w:rsid w:val="00402C09"/>
    <w:rsid w:val="004174E9"/>
    <w:rsid w:val="00460892"/>
    <w:rsid w:val="00467D3E"/>
    <w:rsid w:val="00487104"/>
    <w:rsid w:val="004A463C"/>
    <w:rsid w:val="004A5178"/>
    <w:rsid w:val="004B0B8E"/>
    <w:rsid w:val="004C2F0F"/>
    <w:rsid w:val="004F1F00"/>
    <w:rsid w:val="004F4ECF"/>
    <w:rsid w:val="005072F2"/>
    <w:rsid w:val="00512D65"/>
    <w:rsid w:val="00522D38"/>
    <w:rsid w:val="00547A0B"/>
    <w:rsid w:val="0056523F"/>
    <w:rsid w:val="00580F89"/>
    <w:rsid w:val="005A2786"/>
    <w:rsid w:val="005C0ED9"/>
    <w:rsid w:val="005C7739"/>
    <w:rsid w:val="0060510A"/>
    <w:rsid w:val="0062032C"/>
    <w:rsid w:val="00642F6A"/>
    <w:rsid w:val="0067215E"/>
    <w:rsid w:val="00677325"/>
    <w:rsid w:val="006A7E8F"/>
    <w:rsid w:val="006B58DB"/>
    <w:rsid w:val="006C000E"/>
    <w:rsid w:val="006C5879"/>
    <w:rsid w:val="006D3FBF"/>
    <w:rsid w:val="006D6C0D"/>
    <w:rsid w:val="006F1FFA"/>
    <w:rsid w:val="006F3D6F"/>
    <w:rsid w:val="006F78CF"/>
    <w:rsid w:val="00700DCD"/>
    <w:rsid w:val="007257C7"/>
    <w:rsid w:val="007319B9"/>
    <w:rsid w:val="00731FFA"/>
    <w:rsid w:val="0073235E"/>
    <w:rsid w:val="00735F97"/>
    <w:rsid w:val="00746D73"/>
    <w:rsid w:val="00750385"/>
    <w:rsid w:val="007712DD"/>
    <w:rsid w:val="00775B01"/>
    <w:rsid w:val="007B1325"/>
    <w:rsid w:val="007C71B4"/>
    <w:rsid w:val="007D688A"/>
    <w:rsid w:val="007E251F"/>
    <w:rsid w:val="00816016"/>
    <w:rsid w:val="00824B0F"/>
    <w:rsid w:val="00825827"/>
    <w:rsid w:val="00834CFA"/>
    <w:rsid w:val="008658C1"/>
    <w:rsid w:val="00872443"/>
    <w:rsid w:val="008A22BE"/>
    <w:rsid w:val="008A5EE1"/>
    <w:rsid w:val="008D059B"/>
    <w:rsid w:val="008E41FB"/>
    <w:rsid w:val="008F0052"/>
    <w:rsid w:val="008F0591"/>
    <w:rsid w:val="008F38F4"/>
    <w:rsid w:val="008F6497"/>
    <w:rsid w:val="009246AE"/>
    <w:rsid w:val="009378E2"/>
    <w:rsid w:val="009736BD"/>
    <w:rsid w:val="009C1931"/>
    <w:rsid w:val="009C37D7"/>
    <w:rsid w:val="009D1548"/>
    <w:rsid w:val="009D4EE6"/>
    <w:rsid w:val="009E7E14"/>
    <w:rsid w:val="00A208AD"/>
    <w:rsid w:val="00A312F5"/>
    <w:rsid w:val="00A57975"/>
    <w:rsid w:val="00A72D08"/>
    <w:rsid w:val="00A72DF1"/>
    <w:rsid w:val="00A956E1"/>
    <w:rsid w:val="00AA118F"/>
    <w:rsid w:val="00AA11AC"/>
    <w:rsid w:val="00AB04A1"/>
    <w:rsid w:val="00AD29DF"/>
    <w:rsid w:val="00AE0DD8"/>
    <w:rsid w:val="00B0425F"/>
    <w:rsid w:val="00B06981"/>
    <w:rsid w:val="00B213A0"/>
    <w:rsid w:val="00B32267"/>
    <w:rsid w:val="00B371D4"/>
    <w:rsid w:val="00B418A9"/>
    <w:rsid w:val="00B453B6"/>
    <w:rsid w:val="00B50E90"/>
    <w:rsid w:val="00B5121D"/>
    <w:rsid w:val="00B5272F"/>
    <w:rsid w:val="00B57880"/>
    <w:rsid w:val="00B77CF9"/>
    <w:rsid w:val="00BA66C5"/>
    <w:rsid w:val="00BB4874"/>
    <w:rsid w:val="00BC1360"/>
    <w:rsid w:val="00BF3163"/>
    <w:rsid w:val="00C01E98"/>
    <w:rsid w:val="00C14A9E"/>
    <w:rsid w:val="00C207AC"/>
    <w:rsid w:val="00C47CA3"/>
    <w:rsid w:val="00C6523B"/>
    <w:rsid w:val="00C909C1"/>
    <w:rsid w:val="00C93436"/>
    <w:rsid w:val="00CB6EF6"/>
    <w:rsid w:val="00CC5BB6"/>
    <w:rsid w:val="00CC74E4"/>
    <w:rsid w:val="00CD445C"/>
    <w:rsid w:val="00CE5C9F"/>
    <w:rsid w:val="00CF1D4E"/>
    <w:rsid w:val="00D109EB"/>
    <w:rsid w:val="00D11495"/>
    <w:rsid w:val="00D164AD"/>
    <w:rsid w:val="00D202B9"/>
    <w:rsid w:val="00D27B89"/>
    <w:rsid w:val="00D507C2"/>
    <w:rsid w:val="00D5499D"/>
    <w:rsid w:val="00D60B62"/>
    <w:rsid w:val="00D63C12"/>
    <w:rsid w:val="00D7200F"/>
    <w:rsid w:val="00D74E8E"/>
    <w:rsid w:val="00D901F9"/>
    <w:rsid w:val="00D91238"/>
    <w:rsid w:val="00D953B9"/>
    <w:rsid w:val="00DA681D"/>
    <w:rsid w:val="00DE3D68"/>
    <w:rsid w:val="00DE5AA9"/>
    <w:rsid w:val="00DF056B"/>
    <w:rsid w:val="00DF3718"/>
    <w:rsid w:val="00DF5324"/>
    <w:rsid w:val="00DF65CE"/>
    <w:rsid w:val="00E231A9"/>
    <w:rsid w:val="00E370D2"/>
    <w:rsid w:val="00E426B5"/>
    <w:rsid w:val="00E42E0C"/>
    <w:rsid w:val="00E4702F"/>
    <w:rsid w:val="00E85E89"/>
    <w:rsid w:val="00EA0E65"/>
    <w:rsid w:val="00EC426F"/>
    <w:rsid w:val="00EC6F41"/>
    <w:rsid w:val="00ED18FC"/>
    <w:rsid w:val="00F01CD1"/>
    <w:rsid w:val="00F2785A"/>
    <w:rsid w:val="00F40A36"/>
    <w:rsid w:val="00F44837"/>
    <w:rsid w:val="00F80F1F"/>
    <w:rsid w:val="00F81229"/>
    <w:rsid w:val="00FA47B7"/>
    <w:rsid w:val="00FA4EFE"/>
    <w:rsid w:val="00FB1180"/>
    <w:rsid w:val="00FB709D"/>
    <w:rsid w:val="00FC64C5"/>
    <w:rsid w:val="00FD543F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64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7739"/>
    <w:pPr>
      <w:keepNext/>
      <w:spacing w:before="240" w:after="60" w:line="276" w:lineRule="auto"/>
      <w:outlineLvl w:val="2"/>
    </w:pPr>
    <w:rPr>
      <w:rFonts w:ascii="Calibri Light" w:eastAsia="Times New Roman" w:hAnsi="Calibri Light" w:cs="Calibri Light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9AC"/>
  </w:style>
  <w:style w:type="paragraph" w:styleId="Stopka">
    <w:name w:val="footer"/>
    <w:basedOn w:val="Normalny"/>
    <w:link w:val="StopkaZnak"/>
    <w:uiPriority w:val="99"/>
    <w:unhideWhenUsed/>
    <w:rsid w:val="0021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9AC"/>
  </w:style>
  <w:style w:type="paragraph" w:customStyle="1" w:styleId="Default">
    <w:name w:val="Default"/>
    <w:rsid w:val="001246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0698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B5D4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B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B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50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D688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47A0B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154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C7739"/>
    <w:rPr>
      <w:rFonts w:ascii="Calibri Light" w:eastAsia="Times New Roman" w:hAnsi="Calibri Light" w:cs="Calibri Light"/>
      <w:b/>
      <w:sz w:val="26"/>
      <w:szCs w:val="20"/>
      <w:lang w:eastAsia="pl-PL"/>
    </w:rPr>
  </w:style>
  <w:style w:type="table" w:styleId="Tabela-Siatka">
    <w:name w:val="Table Grid"/>
    <w:basedOn w:val="Standardowy"/>
    <w:uiPriority w:val="59"/>
    <w:rsid w:val="005C7739"/>
    <w:pPr>
      <w:spacing w:after="180" w:line="276" w:lineRule="auto"/>
    </w:pPr>
    <w:rPr>
      <w:rFonts w:eastAsia="Times New Roman" w:cs="Calibri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7739"/>
    <w:pPr>
      <w:keepNext/>
      <w:spacing w:before="240" w:after="60" w:line="276" w:lineRule="auto"/>
      <w:outlineLvl w:val="2"/>
    </w:pPr>
    <w:rPr>
      <w:rFonts w:ascii="Calibri Light" w:eastAsia="Times New Roman" w:hAnsi="Calibri Light" w:cs="Calibri Light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9AC"/>
  </w:style>
  <w:style w:type="paragraph" w:styleId="Stopka">
    <w:name w:val="footer"/>
    <w:basedOn w:val="Normalny"/>
    <w:link w:val="StopkaZnak"/>
    <w:uiPriority w:val="99"/>
    <w:unhideWhenUsed/>
    <w:rsid w:val="0021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9AC"/>
  </w:style>
  <w:style w:type="paragraph" w:customStyle="1" w:styleId="Default">
    <w:name w:val="Default"/>
    <w:rsid w:val="001246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0698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B5D4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B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B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50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D688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47A0B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154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C7739"/>
    <w:rPr>
      <w:rFonts w:ascii="Calibri Light" w:eastAsia="Times New Roman" w:hAnsi="Calibri Light" w:cs="Calibri Light"/>
      <w:b/>
      <w:sz w:val="26"/>
      <w:szCs w:val="20"/>
      <w:lang w:eastAsia="pl-PL"/>
    </w:rPr>
  </w:style>
  <w:style w:type="table" w:styleId="Tabela-Siatka">
    <w:name w:val="Table Grid"/>
    <w:basedOn w:val="Standardowy"/>
    <w:uiPriority w:val="59"/>
    <w:rsid w:val="005C7739"/>
    <w:pPr>
      <w:spacing w:after="180" w:line="276" w:lineRule="auto"/>
    </w:pPr>
    <w:rPr>
      <w:rFonts w:eastAsia="Times New Roman" w:cs="Calibri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1E5C4-17F4-4098-AD44-5DA9CB9A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2282</Words>
  <Characters>13695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m.chlap</cp:lastModifiedBy>
  <cp:revision>14</cp:revision>
  <dcterms:created xsi:type="dcterms:W3CDTF">2025-11-17T07:41:00Z</dcterms:created>
  <dcterms:modified xsi:type="dcterms:W3CDTF">2026-01-07T13:13:00Z</dcterms:modified>
</cp:coreProperties>
</file>