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C236" w14:textId="77777777" w:rsidR="0054015F" w:rsidRPr="00CB2201" w:rsidRDefault="0054015F" w:rsidP="0054015F">
      <w:pPr>
        <w:ind w:left="-851"/>
        <w:jc w:val="right"/>
        <w:rPr>
          <w:rFonts w:ascii="Calibri" w:hAnsi="Calibri"/>
        </w:rPr>
      </w:pPr>
      <w:r w:rsidRPr="007D2CF2">
        <w:rPr>
          <w:rFonts w:ascii="Calibri" w:hAnsi="Calibri"/>
          <w:noProof/>
          <w:lang w:eastAsia="pl-PL"/>
        </w:rPr>
        <w:drawing>
          <wp:inline distT="0" distB="0" distL="0" distR="0" wp14:anchorId="65015055" wp14:editId="79F646B1">
            <wp:extent cx="6995888" cy="713688"/>
            <wp:effectExtent l="0" t="0" r="0" b="0"/>
            <wp:docPr id="15" name="Obraz 15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066" cy="75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8812F" w14:textId="77777777" w:rsidR="0054015F" w:rsidRDefault="0054015F" w:rsidP="0054015F">
      <w:pPr>
        <w:rPr>
          <w:rFonts w:ascii="Calibri" w:hAnsi="Calibri"/>
        </w:rPr>
      </w:pPr>
    </w:p>
    <w:p w14:paraId="5900DF22" w14:textId="77777777" w:rsidR="0054015F" w:rsidRDefault="0054015F" w:rsidP="0054015F">
      <w:pPr>
        <w:rPr>
          <w:rFonts w:ascii="Calibri" w:hAnsi="Calibri"/>
        </w:rPr>
      </w:pPr>
    </w:p>
    <w:p w14:paraId="117D0D52" w14:textId="77777777" w:rsidR="0054015F" w:rsidRDefault="0054015F" w:rsidP="0054015F">
      <w:pPr>
        <w:rPr>
          <w:rFonts w:ascii="Calibri" w:hAnsi="Calibri"/>
        </w:rPr>
      </w:pPr>
    </w:p>
    <w:p w14:paraId="0574C0D5" w14:textId="77777777" w:rsidR="0054015F" w:rsidRDefault="0054015F" w:rsidP="0054015F">
      <w:pPr>
        <w:rPr>
          <w:rFonts w:ascii="Calibri" w:hAnsi="Calibri"/>
        </w:rPr>
      </w:pPr>
    </w:p>
    <w:p w14:paraId="6B166E23" w14:textId="77777777" w:rsidR="0054015F" w:rsidRDefault="0054015F" w:rsidP="0054015F">
      <w:pPr>
        <w:rPr>
          <w:rFonts w:ascii="Calibri" w:hAnsi="Calibri"/>
        </w:rPr>
      </w:pPr>
    </w:p>
    <w:p w14:paraId="568C2ED9" w14:textId="77777777" w:rsidR="00CA3C8B" w:rsidRDefault="00CA3C8B" w:rsidP="0054015F">
      <w:pPr>
        <w:rPr>
          <w:rFonts w:ascii="Calibri" w:hAnsi="Calibri"/>
        </w:rPr>
      </w:pPr>
    </w:p>
    <w:p w14:paraId="5AEE17AB" w14:textId="77777777" w:rsidR="00CA3C8B" w:rsidRDefault="00CA3C8B" w:rsidP="0054015F">
      <w:pPr>
        <w:rPr>
          <w:rFonts w:ascii="Calibri" w:hAnsi="Calibri"/>
        </w:rPr>
      </w:pPr>
    </w:p>
    <w:p w14:paraId="7B0ED6FB" w14:textId="77777777" w:rsidR="0054015F" w:rsidRDefault="0054015F" w:rsidP="0054015F">
      <w:pPr>
        <w:rPr>
          <w:rFonts w:ascii="Calibri" w:hAnsi="Calibri"/>
        </w:rPr>
      </w:pPr>
    </w:p>
    <w:p w14:paraId="035A4F8D" w14:textId="77777777" w:rsidR="0054015F" w:rsidRPr="00CB2201" w:rsidRDefault="0054015F" w:rsidP="0054015F">
      <w:pPr>
        <w:rPr>
          <w:rFonts w:ascii="Calibri" w:hAnsi="Calibri"/>
        </w:rPr>
      </w:pPr>
    </w:p>
    <w:p w14:paraId="3AAA8B25" w14:textId="148A3A91" w:rsidR="0054015F" w:rsidRPr="004C018B" w:rsidRDefault="0054015F" w:rsidP="0054015F">
      <w:pPr>
        <w:rPr>
          <w:rFonts w:ascii="Calibri" w:hAnsi="Calibri"/>
          <w:b/>
          <w:sz w:val="44"/>
          <w:szCs w:val="36"/>
        </w:rPr>
      </w:pPr>
      <w:r w:rsidRPr="004C018B">
        <w:rPr>
          <w:rFonts w:ascii="Calibri" w:hAnsi="Calibri"/>
          <w:b/>
          <w:sz w:val="44"/>
          <w:szCs w:val="36"/>
        </w:rPr>
        <w:t xml:space="preserve">Załącznik nr 10 - </w:t>
      </w:r>
      <w:r w:rsidR="003E62B2" w:rsidRPr="004C018B">
        <w:rPr>
          <w:rFonts w:ascii="Calibri" w:hAnsi="Calibri"/>
          <w:b/>
          <w:sz w:val="44"/>
          <w:szCs w:val="36"/>
        </w:rPr>
        <w:t xml:space="preserve">Opis wydatków kwalifikowanych </w:t>
      </w:r>
      <w:r w:rsidR="00504A2E">
        <w:rPr>
          <w:rFonts w:ascii="Calibri" w:hAnsi="Calibri"/>
          <w:b/>
          <w:sz w:val="44"/>
          <w:szCs w:val="36"/>
        </w:rPr>
        <w:br/>
      </w:r>
      <w:r w:rsidR="003E62B2" w:rsidRPr="004C018B">
        <w:rPr>
          <w:rFonts w:ascii="Calibri" w:hAnsi="Calibri"/>
          <w:b/>
          <w:sz w:val="44"/>
          <w:szCs w:val="36"/>
        </w:rPr>
        <w:t>w ramach działania</w:t>
      </w:r>
      <w:r w:rsidR="005D3022" w:rsidRPr="004C018B">
        <w:rPr>
          <w:rFonts w:ascii="Calibri" w:hAnsi="Calibri"/>
          <w:b/>
          <w:sz w:val="44"/>
          <w:szCs w:val="36"/>
        </w:rPr>
        <w:t xml:space="preserve"> 1.1 Prace B+R i infrastruktura </w:t>
      </w:r>
      <w:r w:rsidR="00504A2E">
        <w:rPr>
          <w:rFonts w:ascii="Calibri" w:hAnsi="Calibri"/>
          <w:b/>
          <w:sz w:val="44"/>
          <w:szCs w:val="36"/>
        </w:rPr>
        <w:br/>
      </w:r>
      <w:r w:rsidR="005D3022" w:rsidRPr="004C018B">
        <w:rPr>
          <w:rFonts w:ascii="Calibri" w:hAnsi="Calibri"/>
          <w:b/>
          <w:sz w:val="44"/>
          <w:szCs w:val="36"/>
        </w:rPr>
        <w:t>w MŚP</w:t>
      </w:r>
    </w:p>
    <w:p w14:paraId="3BA8E9C0" w14:textId="77777777" w:rsidR="0054015F" w:rsidRPr="00FB01B9" w:rsidRDefault="0054015F" w:rsidP="0054015F">
      <w:pPr>
        <w:rPr>
          <w:rFonts w:ascii="Calibri" w:hAnsi="Calibri"/>
          <w:sz w:val="28"/>
          <w:szCs w:val="24"/>
        </w:rPr>
      </w:pPr>
    </w:p>
    <w:p w14:paraId="5A1C4663" w14:textId="77777777" w:rsidR="0054015F" w:rsidRPr="00FB01B9" w:rsidRDefault="0054015F" w:rsidP="0054015F">
      <w:pPr>
        <w:rPr>
          <w:rFonts w:ascii="Calibri" w:hAnsi="Calibri"/>
          <w:sz w:val="44"/>
          <w:szCs w:val="40"/>
        </w:rPr>
      </w:pPr>
    </w:p>
    <w:p w14:paraId="09C5236D" w14:textId="77777777" w:rsidR="0054015F" w:rsidRPr="00FB01B9" w:rsidRDefault="0054015F" w:rsidP="0054015F">
      <w:pPr>
        <w:rPr>
          <w:rFonts w:ascii="Calibri" w:hAnsi="Calibri"/>
          <w:sz w:val="44"/>
          <w:szCs w:val="40"/>
        </w:rPr>
      </w:pPr>
    </w:p>
    <w:p w14:paraId="6AECCFCE" w14:textId="77777777" w:rsidR="0054015F" w:rsidRPr="00FB01B9" w:rsidRDefault="0054015F" w:rsidP="00C3629F">
      <w:pPr>
        <w:tabs>
          <w:tab w:val="left" w:pos="5160"/>
          <w:tab w:val="left" w:pos="5745"/>
        </w:tabs>
        <w:rPr>
          <w:rFonts w:ascii="Calibri" w:hAnsi="Calibri"/>
          <w:sz w:val="44"/>
          <w:szCs w:val="40"/>
        </w:rPr>
      </w:pPr>
    </w:p>
    <w:p w14:paraId="19ED0F6B" w14:textId="77777777" w:rsidR="0054015F" w:rsidRPr="00FB01B9" w:rsidRDefault="0054015F" w:rsidP="0054015F">
      <w:pPr>
        <w:rPr>
          <w:rFonts w:ascii="Calibri" w:hAnsi="Calibri"/>
          <w:sz w:val="44"/>
          <w:szCs w:val="40"/>
        </w:rPr>
      </w:pPr>
    </w:p>
    <w:p w14:paraId="36753FD5" w14:textId="77777777" w:rsidR="0054015F" w:rsidRPr="00FB01B9" w:rsidRDefault="0054015F" w:rsidP="0054015F">
      <w:pPr>
        <w:rPr>
          <w:rFonts w:ascii="Calibri" w:hAnsi="Calibri"/>
          <w:sz w:val="44"/>
          <w:szCs w:val="40"/>
        </w:rPr>
      </w:pPr>
    </w:p>
    <w:p w14:paraId="70B56EB2" w14:textId="77777777" w:rsidR="0054015F" w:rsidRPr="00FB01B9" w:rsidRDefault="0054015F" w:rsidP="0054015F">
      <w:pPr>
        <w:rPr>
          <w:rFonts w:ascii="Calibri" w:hAnsi="Calibri"/>
          <w:sz w:val="44"/>
          <w:szCs w:val="40"/>
        </w:rPr>
      </w:pPr>
    </w:p>
    <w:p w14:paraId="5DE5DA89" w14:textId="19E92626" w:rsidR="0054015F" w:rsidRPr="00FB01B9" w:rsidRDefault="0054015F" w:rsidP="0054015F">
      <w:pPr>
        <w:rPr>
          <w:rFonts w:ascii="Calibri" w:hAnsi="Calibri"/>
          <w:b/>
          <w:color w:val="000000" w:themeColor="text1"/>
          <w:sz w:val="28"/>
          <w:szCs w:val="24"/>
        </w:rPr>
      </w:pPr>
      <w:r w:rsidRPr="00FB01B9">
        <w:rPr>
          <w:rFonts w:ascii="Calibri" w:hAnsi="Calibri"/>
          <w:b/>
          <w:color w:val="000000" w:themeColor="text1"/>
          <w:sz w:val="28"/>
          <w:szCs w:val="24"/>
        </w:rPr>
        <w:t xml:space="preserve">Opole, </w:t>
      </w:r>
      <w:r w:rsidR="00CD527F">
        <w:rPr>
          <w:rFonts w:ascii="Calibri" w:hAnsi="Calibri"/>
          <w:b/>
          <w:color w:val="000000" w:themeColor="text1"/>
          <w:sz w:val="28"/>
          <w:szCs w:val="24"/>
        </w:rPr>
        <w:t xml:space="preserve">wrzesień </w:t>
      </w:r>
      <w:r w:rsidRPr="00FB01B9">
        <w:rPr>
          <w:rFonts w:ascii="Calibri" w:hAnsi="Calibri"/>
          <w:b/>
          <w:color w:val="000000" w:themeColor="text1"/>
          <w:sz w:val="28"/>
          <w:szCs w:val="24"/>
        </w:rPr>
        <w:t>202</w:t>
      </w:r>
      <w:r w:rsidR="00347A24">
        <w:rPr>
          <w:rFonts w:ascii="Calibri" w:hAnsi="Calibri"/>
          <w:b/>
          <w:color w:val="000000" w:themeColor="text1"/>
          <w:sz w:val="28"/>
          <w:szCs w:val="24"/>
        </w:rPr>
        <w:t>5</w:t>
      </w:r>
      <w:r w:rsidRPr="00FB01B9">
        <w:rPr>
          <w:rFonts w:ascii="Calibri" w:hAnsi="Calibri"/>
          <w:b/>
          <w:color w:val="000000" w:themeColor="text1"/>
          <w:sz w:val="28"/>
          <w:szCs w:val="24"/>
        </w:rPr>
        <w:t xml:space="preserve"> r.</w:t>
      </w:r>
    </w:p>
    <w:p w14:paraId="55FDA5E4" w14:textId="77777777" w:rsidR="00313D20" w:rsidRDefault="00313D20" w:rsidP="00FB2FD8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</w:p>
    <w:p w14:paraId="7ED1F9C9" w14:textId="77777777" w:rsidR="00217C77" w:rsidRDefault="00661626" w:rsidP="00FB2FD8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FE24B7">
        <w:rPr>
          <w:rFonts w:cstheme="minorHAnsi"/>
          <w:sz w:val="24"/>
          <w:szCs w:val="24"/>
        </w:rPr>
        <w:lastRenderedPageBreak/>
        <w:t xml:space="preserve">Kwalifikowalność wydatków dla projektów współfinansowanych ze środków krajowych i unijnych w ramach programu FEO 2021-2027 musi być zgodna z przepisami unijnymi i krajowymi, w tym w szczególności z dokumentem </w:t>
      </w:r>
      <w:hyperlink r:id="rId9" w:history="1">
        <w:r w:rsidRPr="00FE24B7">
          <w:rPr>
            <w:rStyle w:val="Hipercze"/>
            <w:rFonts w:cstheme="minorHAnsi"/>
            <w:sz w:val="24"/>
            <w:szCs w:val="24"/>
          </w:rPr>
          <w:t>Wytyczne dotyczące kwalifikowalności 2021-2027</w:t>
        </w:r>
      </w:hyperlink>
      <w:r w:rsidRPr="00FE24B7">
        <w:rPr>
          <w:rFonts w:cstheme="minorHAnsi"/>
          <w:sz w:val="24"/>
          <w:szCs w:val="24"/>
        </w:rPr>
        <w:t>.</w:t>
      </w:r>
    </w:p>
    <w:p w14:paraId="58688BAE" w14:textId="77777777" w:rsidR="00F76D8E" w:rsidRDefault="0020778E" w:rsidP="00FB2FD8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Regulaminie </w:t>
      </w:r>
      <w:r w:rsidR="0042473D">
        <w:rPr>
          <w:rFonts w:cstheme="minorHAnsi"/>
          <w:sz w:val="24"/>
          <w:szCs w:val="24"/>
        </w:rPr>
        <w:t>postę</w:t>
      </w:r>
      <w:r w:rsidR="007245F1">
        <w:rPr>
          <w:rFonts w:cstheme="minorHAnsi"/>
          <w:sz w:val="24"/>
          <w:szCs w:val="24"/>
        </w:rPr>
        <w:t>powania konkurencyjnego znajduje się słowniczek pojęć dla działania 1.1.</w:t>
      </w:r>
      <w:r w:rsidR="0042473D">
        <w:rPr>
          <w:rFonts w:cstheme="minorHAnsi"/>
          <w:sz w:val="24"/>
          <w:szCs w:val="24"/>
        </w:rPr>
        <w:t xml:space="preserve">, w którym znajdują się wyjaśnienia poszczególnych definicji </w:t>
      </w:r>
      <w:r w:rsidR="0072187B">
        <w:rPr>
          <w:rFonts w:cstheme="minorHAnsi"/>
          <w:sz w:val="24"/>
          <w:szCs w:val="24"/>
        </w:rPr>
        <w:t>zastosowanych w tym dokumencie.</w:t>
      </w:r>
    </w:p>
    <w:p w14:paraId="3DC36F33" w14:textId="77777777" w:rsidR="00661626" w:rsidRPr="00464D50" w:rsidRDefault="00661626" w:rsidP="00FB2FD8">
      <w:pPr>
        <w:pStyle w:val="Nagwek2"/>
      </w:pPr>
      <w:bookmarkStart w:id="0" w:name="_Toc128052232"/>
      <w:r w:rsidRPr="00464D50">
        <w:t>Możliwe do realizacji w ramach działania typy projektów, to:</w:t>
      </w:r>
      <w:bookmarkEnd w:id="0"/>
    </w:p>
    <w:p w14:paraId="3EAA1506" w14:textId="7F2A9C96" w:rsidR="009013E2" w:rsidRPr="00BD21D8" w:rsidRDefault="00661626" w:rsidP="009013E2">
      <w:pPr>
        <w:autoSpaceDE w:val="0"/>
        <w:autoSpaceDN w:val="0"/>
        <w:adjustRightInd w:val="0"/>
        <w:spacing w:after="120" w:line="276" w:lineRule="auto"/>
        <w:rPr>
          <w:rFonts w:cstheme="minorHAnsi"/>
          <w:sz w:val="28"/>
          <w:szCs w:val="24"/>
        </w:rPr>
      </w:pPr>
      <w:r w:rsidRPr="00464D50">
        <w:rPr>
          <w:rFonts w:cstheme="minorHAnsi"/>
          <w:b/>
          <w:sz w:val="28"/>
          <w:szCs w:val="24"/>
        </w:rPr>
        <w:t>Typ 2:</w:t>
      </w:r>
      <w:r w:rsidRPr="00464D50">
        <w:rPr>
          <w:rFonts w:cstheme="minorHAnsi"/>
          <w:sz w:val="28"/>
          <w:szCs w:val="24"/>
        </w:rPr>
        <w:t xml:space="preserve"> Prace B+R w MŚ</w:t>
      </w:r>
      <w:r w:rsidR="00293A74" w:rsidRPr="00464D50">
        <w:rPr>
          <w:rFonts w:cstheme="minorHAnsi"/>
          <w:sz w:val="28"/>
          <w:szCs w:val="24"/>
        </w:rPr>
        <w:t>P</w:t>
      </w:r>
    </w:p>
    <w:p w14:paraId="1D88EC1A" w14:textId="77777777" w:rsidR="0038038C" w:rsidRPr="00E607EF" w:rsidRDefault="0038038C" w:rsidP="0038038C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sz w:val="24"/>
          <w:szCs w:val="24"/>
        </w:rPr>
      </w:pPr>
      <w:r w:rsidRPr="00E607EF">
        <w:rPr>
          <w:rFonts w:ascii="Calibri" w:hAnsi="Calibri" w:cs="Calibri"/>
          <w:b/>
          <w:sz w:val="24"/>
          <w:szCs w:val="24"/>
        </w:rPr>
        <w:t>W ramach niniejszego naboru brak jest możliwości finansowania elementu wdrożeniowego oraz infrastruktury B+R.</w:t>
      </w:r>
    </w:p>
    <w:p w14:paraId="28D66269" w14:textId="5EDE8A48" w:rsidR="0038038C" w:rsidRPr="00E607EF" w:rsidRDefault="0038038C" w:rsidP="0038038C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sz w:val="24"/>
          <w:szCs w:val="24"/>
        </w:rPr>
      </w:pPr>
      <w:r w:rsidRPr="00E607EF">
        <w:rPr>
          <w:rFonts w:ascii="Calibri" w:hAnsi="Calibri" w:cs="Calibri"/>
          <w:bCs/>
          <w:sz w:val="24"/>
          <w:szCs w:val="24"/>
        </w:rPr>
        <w:t>W ramach projektu możliwe jest również sfinansowanie</w:t>
      </w:r>
      <w:r w:rsidRPr="00E607EF">
        <w:rPr>
          <w:rFonts w:ascii="Calibri" w:hAnsi="Calibri" w:cs="Calibri"/>
          <w:b/>
          <w:sz w:val="24"/>
          <w:szCs w:val="24"/>
        </w:rPr>
        <w:t xml:space="preserve"> podnoszenia kompetencji pracowników MŚP </w:t>
      </w:r>
      <w:r w:rsidRPr="00E607EF">
        <w:rPr>
          <w:rFonts w:ascii="Calibri" w:hAnsi="Calibri" w:cs="Calibri"/>
          <w:bCs/>
          <w:sz w:val="24"/>
          <w:szCs w:val="24"/>
        </w:rPr>
        <w:t>(do 15% limitu wydatków na cross-</w:t>
      </w:r>
      <w:proofErr w:type="spellStart"/>
      <w:r w:rsidRPr="00E607EF">
        <w:rPr>
          <w:rFonts w:ascii="Calibri" w:hAnsi="Calibri" w:cs="Calibri"/>
          <w:bCs/>
          <w:sz w:val="24"/>
          <w:szCs w:val="24"/>
        </w:rPr>
        <w:t>financing</w:t>
      </w:r>
      <w:proofErr w:type="spellEnd"/>
      <w:r w:rsidRPr="00E607EF">
        <w:rPr>
          <w:rFonts w:ascii="Calibri" w:hAnsi="Calibri" w:cs="Calibri"/>
          <w:bCs/>
          <w:sz w:val="24"/>
          <w:szCs w:val="24"/>
        </w:rPr>
        <w:t>).</w:t>
      </w:r>
    </w:p>
    <w:p w14:paraId="1223B6DB" w14:textId="77777777" w:rsidR="00BD21D8" w:rsidRPr="00930498" w:rsidRDefault="00BD21D8" w:rsidP="00FB2FD8">
      <w:pPr>
        <w:autoSpaceDE w:val="0"/>
        <w:autoSpaceDN w:val="0"/>
        <w:adjustRightInd w:val="0"/>
        <w:spacing w:after="120" w:line="276" w:lineRule="auto"/>
        <w:rPr>
          <w:rFonts w:cstheme="minorHAnsi"/>
          <w:sz w:val="2"/>
          <w:szCs w:val="24"/>
        </w:rPr>
      </w:pPr>
    </w:p>
    <w:p w14:paraId="13A8D623" w14:textId="77777777" w:rsidR="00293A74" w:rsidRPr="00FE24B7" w:rsidRDefault="00293A74" w:rsidP="00FB2FD8">
      <w:pPr>
        <w:pStyle w:val="Nagwek2"/>
      </w:pPr>
      <w:bookmarkStart w:id="1" w:name="_Toc128052233"/>
      <w:r w:rsidRPr="00FE24B7">
        <w:t>Ogólne informacje dotyczące kwalifikowalności wydatków w ramach poszczególnych typów projektu:</w:t>
      </w:r>
      <w:bookmarkEnd w:id="1"/>
    </w:p>
    <w:p w14:paraId="4F2BB450" w14:textId="77777777" w:rsidR="00293A74" w:rsidRPr="0073607E" w:rsidRDefault="00293A74" w:rsidP="00FB2FD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73607E">
        <w:rPr>
          <w:rFonts w:cstheme="minorHAnsi"/>
          <w:sz w:val="24"/>
          <w:szCs w:val="24"/>
        </w:rPr>
        <w:t>Kwalifikowalność wydatków rozpoczyna</w:t>
      </w:r>
      <w:r w:rsidR="00EC72AE" w:rsidRPr="0073607E">
        <w:rPr>
          <w:rFonts w:cstheme="minorHAnsi"/>
          <w:sz w:val="24"/>
          <w:szCs w:val="24"/>
        </w:rPr>
        <w:t xml:space="preserve"> się po dniu złożenia wniosku o </w:t>
      </w:r>
      <w:r w:rsidRPr="0073607E">
        <w:rPr>
          <w:rFonts w:cstheme="minorHAnsi"/>
          <w:sz w:val="24"/>
          <w:szCs w:val="24"/>
        </w:rPr>
        <w:t>dofinansowanie.</w:t>
      </w:r>
    </w:p>
    <w:p w14:paraId="5AB1325C" w14:textId="77777777" w:rsidR="00293A74" w:rsidRDefault="00293A74" w:rsidP="00FB2FD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73607E">
        <w:rPr>
          <w:rFonts w:cstheme="minorHAnsi"/>
          <w:sz w:val="24"/>
          <w:szCs w:val="24"/>
        </w:rPr>
        <w:t>Okres kwalifikowalności wydatków w ramach danego projektu określony jest w umowie o dofinansowanie projektu.</w:t>
      </w:r>
    </w:p>
    <w:p w14:paraId="5AE5D055" w14:textId="77777777" w:rsidR="00D632B2" w:rsidRDefault="003A505F" w:rsidP="006B510D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3A505F">
        <w:rPr>
          <w:rFonts w:cstheme="minorHAnsi"/>
          <w:sz w:val="24"/>
          <w:szCs w:val="24"/>
        </w:rPr>
        <w:t>Projekty muszą spełniać efekt zachęty, tzn. rozpoczęcie realizacji projektu musi nastąpić po dniu złożenia w</w:t>
      </w:r>
      <w:r w:rsidR="004C509D">
        <w:rPr>
          <w:rFonts w:cstheme="minorHAnsi"/>
          <w:sz w:val="24"/>
          <w:szCs w:val="24"/>
        </w:rPr>
        <w:t>niosku w odpowiedzi na niniejsze</w:t>
      </w:r>
      <w:r w:rsidRPr="003A505F">
        <w:rPr>
          <w:rFonts w:cstheme="minorHAnsi"/>
          <w:sz w:val="24"/>
          <w:szCs w:val="24"/>
        </w:rPr>
        <w:t xml:space="preserve"> </w:t>
      </w:r>
      <w:r w:rsidR="004C509D">
        <w:rPr>
          <w:rFonts w:cstheme="minorHAnsi"/>
          <w:sz w:val="24"/>
          <w:szCs w:val="24"/>
        </w:rPr>
        <w:t>postepowanie konkurencyjne</w:t>
      </w:r>
      <w:r w:rsidRPr="003A505F">
        <w:rPr>
          <w:rFonts w:cstheme="minorHAnsi"/>
          <w:sz w:val="24"/>
          <w:szCs w:val="24"/>
        </w:rPr>
        <w:t>. Przez rozpoczęcie realizacji projektu należy rozumieć rozpoczęcie robót budowlanych związanych z inwestycją lub pierwsze prawnie wiążące zobowiązanie do zamówienia środków trwałych i wartości niematerialnych i prawnych lub inne zobowiązanie, które sprawia, że inwestycja staje się nieodwracalna, zależnie od tego, co nastąpi najpierw (zakupu gruntów ani prac przygotowawczych, nie uznaje się za rozpoczęcie prac).  W odniesieniu do przejęć „rozpoczęcie prac” oznacza moment nabycia aktywów bezpośrednio związanych z nabytym zakładem.</w:t>
      </w:r>
      <w:r w:rsidR="00782BDB">
        <w:rPr>
          <w:rFonts w:cstheme="minorHAnsi"/>
          <w:sz w:val="24"/>
          <w:szCs w:val="24"/>
        </w:rPr>
        <w:t xml:space="preserve"> </w:t>
      </w:r>
    </w:p>
    <w:p w14:paraId="3D762FB6" w14:textId="77777777" w:rsidR="000303D6" w:rsidRPr="00D632B2" w:rsidRDefault="000303D6" w:rsidP="006B510D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D632B2">
        <w:rPr>
          <w:rFonts w:cstheme="minorHAnsi"/>
          <w:sz w:val="24"/>
          <w:szCs w:val="24"/>
        </w:rPr>
        <w:t xml:space="preserve">Podatek VAT co do zasady stanowi wydatek niekwalifikowalny w projekcie. W przeciwnym wypadku, gdy Wnioskodawca uzna, że podatek VAT jest kosztem kwalifikowanym, gdyż Wnioskodawcy nie przysługuje prawo do obniżenia kwoty podatku należnego o kwotę podatku naliczonego lub ubiegania się o zwrot podatku VAT na podstawie przepisów o VAT obowiązujących w naszym kraju – zobowiązany jest do załączenia do wniosku interpretacji przepisów prawa podatkowego, wydanej przez właściwy organ, zgodnie z zapisami Załącznika nr 6 do Regulaminu </w:t>
      </w:r>
      <w:r w:rsidR="004C509D">
        <w:rPr>
          <w:rFonts w:cstheme="minorHAnsi"/>
          <w:sz w:val="24"/>
          <w:szCs w:val="24"/>
        </w:rPr>
        <w:t xml:space="preserve">wyboru </w:t>
      </w:r>
      <w:r w:rsidR="00F742C1">
        <w:rPr>
          <w:rFonts w:cstheme="minorHAnsi"/>
          <w:sz w:val="24"/>
          <w:szCs w:val="24"/>
        </w:rPr>
        <w:t>projektów</w:t>
      </w:r>
      <w:r w:rsidRPr="00D632B2">
        <w:rPr>
          <w:rFonts w:cstheme="minorHAnsi"/>
          <w:sz w:val="24"/>
          <w:szCs w:val="24"/>
        </w:rPr>
        <w:t>, tj. Instrukcji wypełniania załączników do wniosku o dofinansowanie projektu ze środków EFRR dla przedsiębiorców. Za posiadanie prawa do obniżenia kwoty podatku należnego o kwotę podatku naliczonego, o którym mowa powyżej, nie uznaje się możliwości określonej w art. 113 ustawy z dnia 11 marca 2004 r. o podatku od towarów i usług, ani przypadku wskazanego w art. 90 ust. 10 pkt 2 tej ustawy.</w:t>
      </w:r>
    </w:p>
    <w:p w14:paraId="7A1122FE" w14:textId="77777777" w:rsidR="00C410EC" w:rsidRPr="0073607E" w:rsidRDefault="00C410EC" w:rsidP="005917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73607E">
        <w:rPr>
          <w:rFonts w:cstheme="minorHAnsi"/>
          <w:sz w:val="24"/>
          <w:szCs w:val="24"/>
        </w:rPr>
        <w:t>Wnioskodawca jest zobowiązany do wniesienia wkładu własnego w zadeklarowanej wysokości na pokrycie części kosztów kwalifikowalnych i wszystkich kosztów niekwalifikowanych w projekcie. Wkład własny może zostać wniesiony wyłącznie w formie pieniężnej. Wkład własny Wnioskodawcy nie może pochodzić ze środków publicznych, w tym dotacji/subwencji z budżetu państwa i budżetu jednostek samorządu terytorialnego.</w:t>
      </w:r>
    </w:p>
    <w:p w14:paraId="7E786E38" w14:textId="6C64C71C" w:rsidR="00293A74" w:rsidRPr="0073607E" w:rsidRDefault="00293A74" w:rsidP="005917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73607E">
        <w:rPr>
          <w:rFonts w:cstheme="minorHAnsi"/>
          <w:sz w:val="24"/>
          <w:szCs w:val="24"/>
        </w:rPr>
        <w:t>Wydatki w projekcie powinny być należycie uzasadnione oraz racjonalne.  Oznacza to dostosowanie ich wysokości do zakresu zapl</w:t>
      </w:r>
      <w:r w:rsidR="00605251" w:rsidRPr="0073607E">
        <w:rPr>
          <w:rFonts w:cstheme="minorHAnsi"/>
          <w:sz w:val="24"/>
          <w:szCs w:val="24"/>
        </w:rPr>
        <w:t xml:space="preserve">anowanych czynności i potrzeb </w:t>
      </w:r>
      <w:r w:rsidR="004B2736">
        <w:rPr>
          <w:rFonts w:cstheme="minorHAnsi"/>
          <w:sz w:val="24"/>
          <w:szCs w:val="24"/>
        </w:rPr>
        <w:t>badawczych</w:t>
      </w:r>
      <w:r w:rsidRPr="0073607E">
        <w:rPr>
          <w:rFonts w:cstheme="minorHAnsi"/>
          <w:sz w:val="24"/>
          <w:szCs w:val="24"/>
        </w:rPr>
        <w:t xml:space="preserve">. Wnioskodawca jest zobowiązany do przedstawienia w dokumentacji i na wezwanie oceniających sposobu przeprowadzenia rozeznania rynku oraz wskazać źródła danych, na podstawie których określił kwoty </w:t>
      </w:r>
      <w:r w:rsidR="004B2736">
        <w:rPr>
          <w:rFonts w:cstheme="minorHAnsi"/>
          <w:sz w:val="24"/>
          <w:szCs w:val="24"/>
        </w:rPr>
        <w:t xml:space="preserve">i ilości </w:t>
      </w:r>
      <w:r w:rsidRPr="0073607E">
        <w:rPr>
          <w:rFonts w:cstheme="minorHAnsi"/>
          <w:sz w:val="24"/>
          <w:szCs w:val="24"/>
        </w:rPr>
        <w:t>poszczególnych wydatków</w:t>
      </w:r>
      <w:r w:rsidR="004B2736">
        <w:rPr>
          <w:rFonts w:cstheme="minorHAnsi"/>
          <w:sz w:val="24"/>
          <w:szCs w:val="24"/>
        </w:rPr>
        <w:t xml:space="preserve">, np. </w:t>
      </w:r>
      <w:r w:rsidR="004B2736" w:rsidRPr="004B2736">
        <w:rPr>
          <w:rFonts w:cstheme="minorHAnsi"/>
          <w:sz w:val="24"/>
          <w:szCs w:val="24"/>
        </w:rPr>
        <w:t>materiałów i środków eksploatacyjnych niezbędnych do realizacji prac B+R</w:t>
      </w:r>
      <w:r w:rsidRPr="0073607E">
        <w:rPr>
          <w:rFonts w:cstheme="minorHAnsi"/>
          <w:sz w:val="24"/>
          <w:szCs w:val="24"/>
        </w:rPr>
        <w:t xml:space="preserve">. Koszty w projekcie powinny być również niezbędne i bezpośrednio związane z realizacją działań zaplanowanych w ramach projektu. Wnioskodawca powinien wykazać w dokumentacji i na wezwanie oceniających konieczność poniesienia każdego wydatku i jego związek z przedmiotem projektu. Wydatki kwalifikowalne powinny zostać przyporządkowane do właściwej kategorii kosztów: badania przemysłowe, </w:t>
      </w:r>
      <w:r w:rsidR="0038038C">
        <w:rPr>
          <w:rFonts w:cstheme="minorHAnsi"/>
          <w:sz w:val="24"/>
          <w:szCs w:val="24"/>
        </w:rPr>
        <w:t xml:space="preserve">lub </w:t>
      </w:r>
      <w:r w:rsidRPr="0073607E">
        <w:rPr>
          <w:rFonts w:cstheme="minorHAnsi"/>
          <w:sz w:val="24"/>
          <w:szCs w:val="24"/>
        </w:rPr>
        <w:t xml:space="preserve">eksperymentalne prace rozwojowe </w:t>
      </w:r>
    </w:p>
    <w:p w14:paraId="6D295599" w14:textId="77777777" w:rsidR="003A727D" w:rsidRDefault="003A727D" w:rsidP="005917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73607E">
        <w:rPr>
          <w:rFonts w:cstheme="minorHAnsi"/>
          <w:sz w:val="24"/>
          <w:szCs w:val="24"/>
        </w:rPr>
        <w:t>Wszystkie wydatki ujęte w projekcie powinny przyczyniać się do realizacji celu szczegółowego działania, którym jest „rozwijanie i wzmacnianie zdolności badawczych i innowacyjnych oraz wykorzystywanie zaawansowanych technologii”.</w:t>
      </w:r>
    </w:p>
    <w:p w14:paraId="063C1CA9" w14:textId="7B88EA31" w:rsidR="00863034" w:rsidRPr="00863034" w:rsidRDefault="00E3489C" w:rsidP="008630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W sytuacji, gdy projekt zakłada wydatki związane z dostępnością,</w:t>
      </w:r>
      <w:r w:rsidR="00863034">
        <w:rPr>
          <w:rFonts w:cstheme="minorHAnsi"/>
          <w:sz w:val="24"/>
          <w:szCs w:val="24"/>
        </w:rPr>
        <w:t xml:space="preserve"> zgodnie z Sekcją</w:t>
      </w:r>
      <w:r w:rsidR="00863034" w:rsidRPr="00863034">
        <w:rPr>
          <w:rFonts w:cstheme="minorHAnsi"/>
          <w:sz w:val="24"/>
          <w:szCs w:val="24"/>
        </w:rPr>
        <w:t xml:space="preserve"> 4.1.3.</w:t>
      </w:r>
      <w:r w:rsidR="00863034" w:rsidRPr="00863034">
        <w:t xml:space="preserve"> </w:t>
      </w:r>
      <w:r w:rsidR="00863034">
        <w:rPr>
          <w:rFonts w:cstheme="minorHAnsi"/>
          <w:i/>
          <w:sz w:val="24"/>
          <w:szCs w:val="24"/>
        </w:rPr>
        <w:t>Wytycznych dotyczących</w:t>
      </w:r>
      <w:r w:rsidR="00863034" w:rsidRPr="00863034">
        <w:rPr>
          <w:rFonts w:cstheme="minorHAnsi"/>
          <w:i/>
          <w:sz w:val="24"/>
          <w:szCs w:val="24"/>
        </w:rPr>
        <w:t xml:space="preserve"> realizacji zasad równościowych w ramach funduszy</w:t>
      </w:r>
    </w:p>
    <w:p w14:paraId="63FB2794" w14:textId="77777777" w:rsidR="003E6EA3" w:rsidRDefault="00863034" w:rsidP="003E6EA3">
      <w:pPr>
        <w:pStyle w:val="Akapitzlist"/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863034">
        <w:rPr>
          <w:rFonts w:cstheme="minorHAnsi"/>
          <w:i/>
          <w:sz w:val="24"/>
          <w:szCs w:val="24"/>
        </w:rPr>
        <w:t>unijnych na lata 2021-2027</w:t>
      </w:r>
      <w:r>
        <w:rPr>
          <w:rFonts w:cstheme="minorHAnsi"/>
          <w:sz w:val="24"/>
          <w:szCs w:val="24"/>
        </w:rPr>
        <w:t xml:space="preserve">, </w:t>
      </w:r>
      <w:r w:rsidR="003E6EA3">
        <w:rPr>
          <w:rFonts w:cstheme="minorHAnsi"/>
          <w:sz w:val="24"/>
          <w:szCs w:val="24"/>
        </w:rPr>
        <w:t>wydatek ten należy ująć w ramach osobnego zadania.</w:t>
      </w:r>
    </w:p>
    <w:p w14:paraId="4A321242" w14:textId="7BE33D3D" w:rsidR="00863034" w:rsidRPr="003E6EA3" w:rsidRDefault="00863034" w:rsidP="001311F6">
      <w:pPr>
        <w:pStyle w:val="Akapitzlist"/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8"/>
          <w:szCs w:val="24"/>
        </w:rPr>
      </w:pPr>
      <w:r w:rsidRPr="003E6EA3">
        <w:rPr>
          <w:sz w:val="24"/>
        </w:rPr>
        <w:t>Beneficjent powinien racjonalnie szacować</w:t>
      </w:r>
      <w:r w:rsidR="00947B32">
        <w:rPr>
          <w:sz w:val="24"/>
        </w:rPr>
        <w:t>,</w:t>
      </w:r>
      <w:r w:rsidRPr="003E6EA3">
        <w:rPr>
          <w:sz w:val="24"/>
        </w:rPr>
        <w:t xml:space="preserve"> czy elementy związane z dostępnością w danej pozycji budżetowej są znaczące na tyle, by całość kosztu mogła zostać uznana za wydatek związany z dostępnością</w:t>
      </w:r>
      <w:r w:rsidR="001311F6">
        <w:rPr>
          <w:sz w:val="24"/>
        </w:rPr>
        <w:t>.</w:t>
      </w:r>
    </w:p>
    <w:p w14:paraId="5A5043D4" w14:textId="450D8448" w:rsidR="00F23E1B" w:rsidRPr="00F23E1B" w:rsidRDefault="00F23E1B" w:rsidP="00F23E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F23E1B">
        <w:rPr>
          <w:sz w:val="24"/>
          <w:szCs w:val="24"/>
        </w:rPr>
        <w:t>Koszty pośrednie w ramach przedmiotowego postępowania konkurencyjnego  są rozliczane metodą ryczałtową za pomocą stawki ryczałtowej w wysokości 7%</w:t>
      </w:r>
      <w:r w:rsidR="001E2783">
        <w:rPr>
          <w:sz w:val="24"/>
          <w:szCs w:val="24"/>
        </w:rPr>
        <w:t xml:space="preserve"> </w:t>
      </w:r>
      <w:r w:rsidRPr="00F23E1B">
        <w:rPr>
          <w:sz w:val="24"/>
          <w:szCs w:val="24"/>
        </w:rPr>
        <w:t>bezpośrednich kosztów kwalifikowanych z wyjątkiem kosztów usług zewnętrznych (podwykonawstwa)</w:t>
      </w:r>
      <w:r w:rsidR="0083302F">
        <w:rPr>
          <w:sz w:val="24"/>
          <w:szCs w:val="24"/>
        </w:rPr>
        <w:t>.</w:t>
      </w:r>
      <w:r w:rsidRPr="00F23E1B">
        <w:rPr>
          <w:sz w:val="24"/>
          <w:szCs w:val="24"/>
        </w:rPr>
        <w:t xml:space="preserve"> </w:t>
      </w:r>
      <w:r w:rsidR="0083302F">
        <w:rPr>
          <w:sz w:val="24"/>
          <w:szCs w:val="24"/>
        </w:rPr>
        <w:t>P</w:t>
      </w:r>
      <w:r w:rsidRPr="00F23E1B">
        <w:rPr>
          <w:sz w:val="24"/>
          <w:szCs w:val="24"/>
        </w:rPr>
        <w:t xml:space="preserve">odstawa wyliczenia: </w:t>
      </w:r>
      <w:r w:rsidR="00E76488">
        <w:rPr>
          <w:sz w:val="24"/>
          <w:szCs w:val="24"/>
        </w:rPr>
        <w:t>(</w:t>
      </w:r>
      <w:r w:rsidRPr="00F23E1B">
        <w:rPr>
          <w:sz w:val="24"/>
          <w:szCs w:val="24"/>
        </w:rPr>
        <w:t xml:space="preserve">koszty bezpośrednie-koszty </w:t>
      </w:r>
      <w:r w:rsidR="000647C3">
        <w:rPr>
          <w:sz w:val="24"/>
          <w:szCs w:val="24"/>
        </w:rPr>
        <w:t xml:space="preserve"> </w:t>
      </w:r>
      <w:r w:rsidRPr="00F23E1B">
        <w:rPr>
          <w:sz w:val="24"/>
          <w:szCs w:val="24"/>
        </w:rPr>
        <w:t>podwykonawstwa</w:t>
      </w:r>
      <w:r w:rsidR="00E76488">
        <w:rPr>
          <w:sz w:val="24"/>
          <w:szCs w:val="24"/>
        </w:rPr>
        <w:t>)</w:t>
      </w:r>
      <w:r w:rsidRPr="00F23E1B">
        <w:rPr>
          <w:sz w:val="24"/>
          <w:szCs w:val="24"/>
        </w:rPr>
        <w:t xml:space="preserve"> x 7%.</w:t>
      </w:r>
    </w:p>
    <w:p w14:paraId="215DC4D2" w14:textId="4BDEDE5B" w:rsidR="00A21D50" w:rsidRPr="00E607EF" w:rsidRDefault="00A21D50" w:rsidP="00F23E1B">
      <w:pPr>
        <w:pStyle w:val="Akapitzlist"/>
        <w:autoSpaceDE w:val="0"/>
        <w:autoSpaceDN w:val="0"/>
        <w:adjustRightInd w:val="0"/>
        <w:spacing w:after="120" w:line="276" w:lineRule="auto"/>
        <w:ind w:left="714"/>
        <w:contextualSpacing w:val="0"/>
        <w:rPr>
          <w:rFonts w:cstheme="minorHAnsi"/>
          <w:sz w:val="24"/>
          <w:szCs w:val="24"/>
        </w:rPr>
      </w:pPr>
      <w:r w:rsidRPr="00E607EF">
        <w:rPr>
          <w:sz w:val="24"/>
          <w:szCs w:val="24"/>
        </w:rPr>
        <w:t>Finansowanie kosztów pośrednich realizowane jest w oparciu o stawki ryczałtowe wskazane w art. 54</w:t>
      </w:r>
      <w:r w:rsidR="00E30AEF">
        <w:rPr>
          <w:sz w:val="24"/>
          <w:szCs w:val="24"/>
        </w:rPr>
        <w:t xml:space="preserve"> (a)</w:t>
      </w:r>
      <w:r w:rsidRPr="00E607EF">
        <w:rPr>
          <w:sz w:val="24"/>
          <w:szCs w:val="24"/>
        </w:rPr>
        <w:t xml:space="preserve"> Rozporządzenia parlamentu europejskiego i rady (UE) 2021/1060 </w:t>
      </w:r>
      <w:r w:rsidR="00E30AEF">
        <w:rPr>
          <w:sz w:val="24"/>
          <w:szCs w:val="24"/>
        </w:rPr>
        <w:br/>
      </w:r>
      <w:r w:rsidRPr="00E607EF">
        <w:rPr>
          <w:sz w:val="24"/>
          <w:szCs w:val="24"/>
        </w:rPr>
        <w:t xml:space="preserve">z dnia 24 czerwca 2021 r.  Zakres kosztów pośrednich jest zgodny z katalogiem kosztów pośrednich wskazanym w punkcie 2 podrozdziału 3.12 Wytycznych do kwalifikowalności wydatków na lata 2021-2027. </w:t>
      </w:r>
    </w:p>
    <w:p w14:paraId="0CB9FCB7" w14:textId="2DE5B66E" w:rsidR="00FE24B7" w:rsidRPr="00FE24B7" w:rsidRDefault="00FE24B7" w:rsidP="00FB2FD8">
      <w:pPr>
        <w:pStyle w:val="Nagwek2"/>
      </w:pPr>
      <w:bookmarkStart w:id="2" w:name="_Toc128052234"/>
      <w:r w:rsidRPr="00FE24B7">
        <w:t>Szczegółowe informacje dotyczące kwalifikowalności wydatków w ramach projektu:</w:t>
      </w:r>
      <w:bookmarkEnd w:id="2"/>
    </w:p>
    <w:p w14:paraId="202D75C2" w14:textId="77777777" w:rsidR="00293A74" w:rsidRPr="008A0616" w:rsidRDefault="00293A74" w:rsidP="00217C77">
      <w:pPr>
        <w:autoSpaceDE w:val="0"/>
        <w:autoSpaceDN w:val="0"/>
        <w:adjustRightInd w:val="0"/>
        <w:spacing w:after="120" w:line="276" w:lineRule="auto"/>
        <w:rPr>
          <w:rFonts w:cstheme="minorHAnsi"/>
          <w:sz w:val="12"/>
          <w:szCs w:val="24"/>
        </w:rPr>
      </w:pPr>
    </w:p>
    <w:p w14:paraId="4AC1EF68" w14:textId="4802635C" w:rsidR="00ED3DE5" w:rsidRPr="002934CA" w:rsidRDefault="00ED3DE5" w:rsidP="002934CA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Pomoc udzielana </w:t>
      </w:r>
      <w:r w:rsidR="0038038C">
        <w:rPr>
          <w:rFonts w:cstheme="minorHAnsi"/>
          <w:sz w:val="24"/>
          <w:szCs w:val="24"/>
        </w:rPr>
        <w:t xml:space="preserve">jest </w:t>
      </w:r>
      <w:r w:rsidR="003A62EC">
        <w:rPr>
          <w:rFonts w:cstheme="minorHAnsi"/>
          <w:sz w:val="24"/>
          <w:szCs w:val="24"/>
        </w:rPr>
        <w:t xml:space="preserve">w ramach </w:t>
      </w:r>
      <w:r w:rsidRPr="002934CA">
        <w:rPr>
          <w:rFonts w:cstheme="minorHAnsi"/>
          <w:sz w:val="24"/>
          <w:szCs w:val="24"/>
        </w:rPr>
        <w:t>Rozporządzenia Ministra Funduszy i Polityki Regionalnej z dnia 29 listopada 2022 r. w sprawie udzielania pomocy na badania przemysłowe, eksperymentalne prace rozwojowe oraz studia wykonalności w ramach regionalnych programów na lata 2021–2027 (Dz. U. z 2022 r. poz. 2573)</w:t>
      </w:r>
      <w:r w:rsidR="003A62EC">
        <w:rPr>
          <w:rFonts w:cstheme="minorHAnsi"/>
          <w:sz w:val="24"/>
          <w:szCs w:val="24"/>
        </w:rPr>
        <w:t xml:space="preserve"> na podstawie art. 25 </w:t>
      </w:r>
      <w:r w:rsidR="003A62EC" w:rsidRPr="00E607EF">
        <w:rPr>
          <w:rFonts w:cstheme="minorHAnsi"/>
          <w:sz w:val="24"/>
          <w:szCs w:val="24"/>
        </w:rPr>
        <w:t>Rozporządzenia Komisji (UE) nr 651/2014 z dnia 17 czerwca 2014 r. uznające niektóre rodzaje pomocy za zgodne z rynkiem wewnętrznym w zastosowaniu art. 107 i 108 Traktatu Tekst mający znaczenie dla EOG</w:t>
      </w:r>
      <w:r w:rsidRPr="003A62EC">
        <w:rPr>
          <w:rFonts w:cstheme="minorHAnsi"/>
          <w:sz w:val="24"/>
          <w:szCs w:val="24"/>
        </w:rPr>
        <w:t>.</w:t>
      </w:r>
    </w:p>
    <w:p w14:paraId="0D0A4BB1" w14:textId="77777777" w:rsidR="00125E79" w:rsidRPr="002934CA" w:rsidRDefault="00125E79" w:rsidP="002934CA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  <w:u w:val="single"/>
        </w:rPr>
        <w:t>Intensywność pomocy</w:t>
      </w:r>
      <w:r w:rsidRPr="002934CA">
        <w:rPr>
          <w:rFonts w:cstheme="minorHAnsi"/>
          <w:sz w:val="24"/>
          <w:szCs w:val="24"/>
        </w:rPr>
        <w:t xml:space="preserve"> na prowadzenie projektó</w:t>
      </w:r>
      <w:r w:rsidR="006261C7" w:rsidRPr="002934CA">
        <w:rPr>
          <w:rFonts w:cstheme="minorHAnsi"/>
          <w:sz w:val="24"/>
          <w:szCs w:val="24"/>
        </w:rPr>
        <w:t xml:space="preserve">w badawczo-rozwojowych nie może </w:t>
      </w:r>
      <w:r w:rsidRPr="002934CA">
        <w:rPr>
          <w:rFonts w:cstheme="minorHAnsi"/>
          <w:sz w:val="24"/>
          <w:szCs w:val="24"/>
        </w:rPr>
        <w:t>przekroczyć:</w:t>
      </w:r>
    </w:p>
    <w:p w14:paraId="5F066FC9" w14:textId="77777777" w:rsidR="00125E79" w:rsidRPr="00446C1C" w:rsidRDefault="00125E79" w:rsidP="00811767">
      <w:pPr>
        <w:numPr>
          <w:ilvl w:val="1"/>
          <w:numId w:val="7"/>
        </w:numPr>
        <w:autoSpaceDE w:val="0"/>
        <w:autoSpaceDN w:val="0"/>
        <w:adjustRightInd w:val="0"/>
        <w:spacing w:after="120" w:line="276" w:lineRule="auto"/>
        <w:contextualSpacing/>
        <w:rPr>
          <w:rFonts w:cstheme="minorHAnsi"/>
          <w:sz w:val="24"/>
          <w:szCs w:val="24"/>
        </w:rPr>
      </w:pPr>
      <w:r w:rsidRPr="00446C1C">
        <w:rPr>
          <w:rFonts w:cstheme="minorHAnsi"/>
          <w:sz w:val="24"/>
          <w:szCs w:val="24"/>
        </w:rPr>
        <w:t>Koszty dotyczące badań przemysłowych:</w:t>
      </w:r>
    </w:p>
    <w:p w14:paraId="14FB4B7D" w14:textId="77777777" w:rsidR="00125E79" w:rsidRPr="002934CA" w:rsidRDefault="00125E79" w:rsidP="00811767">
      <w:pPr>
        <w:pStyle w:val="Akapitzlist"/>
        <w:spacing w:after="120" w:line="276" w:lineRule="auto"/>
        <w:ind w:left="851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− Mikro i małe przedsiębiorstwa: 70 %; </w:t>
      </w:r>
    </w:p>
    <w:p w14:paraId="078BA93E" w14:textId="77777777" w:rsidR="00125E79" w:rsidRPr="002934CA" w:rsidRDefault="00125E79" w:rsidP="002934CA">
      <w:pPr>
        <w:pStyle w:val="Akapitzlist"/>
        <w:spacing w:after="120" w:line="276" w:lineRule="auto"/>
        <w:ind w:left="851"/>
        <w:contextualSpacing w:val="0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− Średnie przedsiębiorstwa: 60 %; </w:t>
      </w:r>
    </w:p>
    <w:p w14:paraId="13E87728" w14:textId="77777777" w:rsidR="00125E79" w:rsidRPr="00446C1C" w:rsidRDefault="00125E79" w:rsidP="00811767">
      <w:pPr>
        <w:pStyle w:val="Akapitzlist"/>
        <w:numPr>
          <w:ilvl w:val="1"/>
          <w:numId w:val="7"/>
        </w:numPr>
        <w:spacing w:after="120" w:line="276" w:lineRule="auto"/>
        <w:rPr>
          <w:rFonts w:cstheme="minorHAnsi"/>
          <w:sz w:val="24"/>
          <w:szCs w:val="24"/>
        </w:rPr>
      </w:pPr>
      <w:r w:rsidRPr="00446C1C">
        <w:rPr>
          <w:rFonts w:cstheme="minorHAnsi"/>
          <w:sz w:val="24"/>
          <w:szCs w:val="24"/>
        </w:rPr>
        <w:t xml:space="preserve">Koszty dotyczące </w:t>
      </w:r>
      <w:r w:rsidR="00446C1C">
        <w:rPr>
          <w:rFonts w:cstheme="minorHAnsi"/>
          <w:sz w:val="24"/>
          <w:szCs w:val="24"/>
        </w:rPr>
        <w:t xml:space="preserve">eksperymentalnych </w:t>
      </w:r>
      <w:r w:rsidRPr="00446C1C">
        <w:rPr>
          <w:rFonts w:cstheme="minorHAnsi"/>
          <w:sz w:val="24"/>
          <w:szCs w:val="24"/>
        </w:rPr>
        <w:t>prac rozwojowych:</w:t>
      </w:r>
    </w:p>
    <w:p w14:paraId="583005E2" w14:textId="77777777" w:rsidR="00125E79" w:rsidRPr="002934CA" w:rsidRDefault="00125E79" w:rsidP="00811767">
      <w:pPr>
        <w:pStyle w:val="Akapitzlist"/>
        <w:spacing w:after="120" w:line="276" w:lineRule="auto"/>
        <w:ind w:left="851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− Mikro i małe przedsiębiorstwa: 45 %; </w:t>
      </w:r>
    </w:p>
    <w:p w14:paraId="455E8C76" w14:textId="77777777" w:rsidR="00125E79" w:rsidRPr="002934CA" w:rsidRDefault="00125E79" w:rsidP="002934CA">
      <w:pPr>
        <w:pStyle w:val="Akapitzlist"/>
        <w:spacing w:after="120" w:line="276" w:lineRule="auto"/>
        <w:ind w:left="851"/>
        <w:contextualSpacing w:val="0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− Średnie przedsiębiorstwa: 35 %. </w:t>
      </w:r>
    </w:p>
    <w:p w14:paraId="3FE9937F" w14:textId="053CE1AD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 xml:space="preserve">Intensywność pomocy na badania przemysłowe i eksperymentalne prace rozwojowe można zwiększyć do maksymalnej intensywności </w:t>
      </w:r>
      <w:r w:rsidR="00B76EDC">
        <w:rPr>
          <w:rFonts w:cstheme="minorHAnsi"/>
          <w:sz w:val="24"/>
          <w:szCs w:val="24"/>
        </w:rPr>
        <w:t xml:space="preserve">pomocy na poziomie 80 % kosztów </w:t>
      </w:r>
      <w:r w:rsidRPr="00580A3C">
        <w:rPr>
          <w:rFonts w:cstheme="minorHAnsi"/>
          <w:sz w:val="24"/>
          <w:szCs w:val="24"/>
        </w:rPr>
        <w:t>kwalifikowalnych zgodnie z lit. a) do d) poniżej, przy założeniu, że nie można łączyć ze sobą lit. b), c) i d):</w:t>
      </w:r>
    </w:p>
    <w:p w14:paraId="7ECC3A23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a) o 10 punktów procentowych w przypadku średnich przedsiębiorstw oraz o 20 punktów procentowych w przypadku małych przedsiębiorstw;</w:t>
      </w:r>
    </w:p>
    <w:p w14:paraId="7BDF4A18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b) o 15 punktów procentowych, jeżeli spełniony jest jeden z następujących warunków:</w:t>
      </w:r>
    </w:p>
    <w:p w14:paraId="402A84D0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(i) projekt zakłada efektywną współpracę:</w:t>
      </w:r>
    </w:p>
    <w:p w14:paraId="3A35F069" w14:textId="7DAF523B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— między przedsiębiorstwami, wśród których przyna</w:t>
      </w:r>
      <w:r w:rsidR="000D7FDF">
        <w:rPr>
          <w:rFonts w:cstheme="minorHAnsi"/>
          <w:sz w:val="24"/>
          <w:szCs w:val="24"/>
        </w:rPr>
        <w:t xml:space="preserve">jmniej jedno jest MŚP, lub jest </w:t>
      </w:r>
      <w:r w:rsidRPr="00580A3C">
        <w:rPr>
          <w:rFonts w:cstheme="minorHAnsi"/>
          <w:sz w:val="24"/>
          <w:szCs w:val="24"/>
        </w:rPr>
        <w:t xml:space="preserve">realizowany w co najmniej dwóch państwach członkowskich </w:t>
      </w:r>
      <w:r w:rsidR="000D7FDF">
        <w:rPr>
          <w:rFonts w:cstheme="minorHAnsi"/>
          <w:sz w:val="24"/>
          <w:szCs w:val="24"/>
        </w:rPr>
        <w:t xml:space="preserve">lub w państwie członkowskim i w </w:t>
      </w:r>
      <w:r w:rsidRPr="00580A3C">
        <w:rPr>
          <w:rFonts w:cstheme="minorHAnsi"/>
          <w:sz w:val="24"/>
          <w:szCs w:val="24"/>
        </w:rPr>
        <w:t xml:space="preserve">państwie umawiającej się strony Porozumienia </w:t>
      </w:r>
      <w:r w:rsidR="000D7FDF">
        <w:rPr>
          <w:rFonts w:cstheme="minorHAnsi"/>
          <w:sz w:val="24"/>
          <w:szCs w:val="24"/>
        </w:rPr>
        <w:t xml:space="preserve">EOG, przy czym żadne pojedyncze </w:t>
      </w:r>
      <w:r w:rsidRPr="00580A3C">
        <w:rPr>
          <w:rFonts w:cstheme="minorHAnsi"/>
          <w:sz w:val="24"/>
          <w:szCs w:val="24"/>
        </w:rPr>
        <w:t>przedsiębiorstwo nie ponosi więcej niż 70 % kosztów kwalifikowalnych, lub</w:t>
      </w:r>
    </w:p>
    <w:p w14:paraId="4254C59C" w14:textId="1A2702ED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— między przedsiębiorstwem i co najmniej jedną o</w:t>
      </w:r>
      <w:r w:rsidR="000D7FDF">
        <w:rPr>
          <w:rFonts w:cstheme="minorHAnsi"/>
          <w:sz w:val="24"/>
          <w:szCs w:val="24"/>
        </w:rPr>
        <w:t xml:space="preserve">rganizacją prowadzącą badania i </w:t>
      </w:r>
      <w:r w:rsidRPr="00580A3C">
        <w:rPr>
          <w:rFonts w:cstheme="minorHAnsi"/>
          <w:sz w:val="24"/>
          <w:szCs w:val="24"/>
        </w:rPr>
        <w:t xml:space="preserve">upowszechniającą wiedzę, jeżeli ta ostatnia </w:t>
      </w:r>
      <w:r w:rsidR="000D7FDF">
        <w:rPr>
          <w:rFonts w:cstheme="minorHAnsi"/>
          <w:sz w:val="24"/>
          <w:szCs w:val="24"/>
        </w:rPr>
        <w:t xml:space="preserve">ponosi co najmniej 10 % kosztów </w:t>
      </w:r>
      <w:r w:rsidRPr="00580A3C">
        <w:rPr>
          <w:rFonts w:cstheme="minorHAnsi"/>
          <w:sz w:val="24"/>
          <w:szCs w:val="24"/>
        </w:rPr>
        <w:t>kwalifikowalnych i ma prawo do publikowania własnych wyników badań;</w:t>
      </w:r>
    </w:p>
    <w:p w14:paraId="492DC6DD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(ii) wyniki projektu są szeroko rozpowszechniane podczas konferencji, za pośrednictwem publikacji, ogólnodostępnych baz bądź oprogramowania bezpłatnego lub otwartego;</w:t>
      </w:r>
    </w:p>
    <w:p w14:paraId="7C32FA47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(iii) beneficjent zobowiązuje się do terminowego udostępnienia licencji związanych z wynikami badań dotyczących projektów badawczo-rozwojowych objętych pomocą, chronionych prawami własności intelektualnej, po cenie rynkowej i na zasadzie braku wyłączności i niedyskryminacji do użytku przez zainteresowane strony w EOG;</w:t>
      </w:r>
    </w:p>
    <w:p w14:paraId="4AB86882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(iv) projekt badawczo-rozwojowy jest realizowany w obszarze objętym pomocą, który spełnia warunki określone w art. 107 ust. 3 lit. a) Traktatu;</w:t>
      </w:r>
    </w:p>
    <w:p w14:paraId="1F8E20AA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c) o 5 punktów procentowych, jeżeli projekt badawczo-rozwojowy jest realizowany w obszarze objętym pomocą, który spełnia warunki określone w art. 107 ust. 3 lit. c) Traktatu;</w:t>
      </w:r>
    </w:p>
    <w:p w14:paraId="2A87E0A4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d) o 25 punktów procentowych, jeżeli projekt badawczo-rozwojowy:</w:t>
      </w:r>
    </w:p>
    <w:p w14:paraId="39C1C6F9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(i) został wybrany przez państwo członkowskie w wyniku otwartego zaproszenia do udziału w projekcie opracowanym wspólnie przez co najmniej trzy państwa członkowskie lub umawiające się strony Porozumienia EOG oraz</w:t>
      </w:r>
    </w:p>
    <w:p w14:paraId="59FB1EAA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(ii) wiąże się ze skuteczną współpracą między przedsiębiorstwami w co najmniej dwóch państwach członkowskich lub umawiających się stronach Porozumienia EOG, jeżeli beneficjentem jest MŚP, lub w co najmniej trzech państwach członkowskich lub umawiających się stronach Porozumienia EOG, jeżeli beneficjentem jest duże przedsiębiorstwo oraz</w:t>
      </w:r>
    </w:p>
    <w:p w14:paraId="11D4424B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(iii) jeżeli spełniony jest co najmniej jeden z dwóch następujących warunków:</w:t>
      </w:r>
    </w:p>
    <w:p w14:paraId="16FFE541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— wyniki projektu badawczo-rozwojowego są szeroko rozpowszechniane w co najmniej trzech państwach członkowskich lub umawiających się stronach Porozumienia EOG podczas konferencji, za pośrednictwem publikacji, ogólnodostępnych baz bądź wolnego lub otwartego oprogramowania, lub</w:t>
      </w:r>
    </w:p>
    <w:p w14:paraId="720AB651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— beneficjent zobowiązuje się do terminowego udostępnienia licencji związanych z wynikami badań dotyczących projektów badawczo-rozwojowych objętych pomocą, chronionych prawami własności intelektualnej, po cenie rynkowej i na zasadzie braku wyłączności i niedyskryminacji do użytku przez zainteresowane strony w EOG.</w:t>
      </w:r>
    </w:p>
    <w:p w14:paraId="0B567F0B" w14:textId="77777777" w:rsidR="006261C7" w:rsidRPr="002934CA" w:rsidRDefault="006261C7" w:rsidP="002934CA">
      <w:pPr>
        <w:autoSpaceDE w:val="0"/>
        <w:autoSpaceDN w:val="0"/>
        <w:adjustRightInd w:val="0"/>
        <w:spacing w:after="120" w:line="276" w:lineRule="auto"/>
        <w:ind w:firstLine="360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>Wyniki projektu są szeroko rozpowszechniane, gdy zostaną:</w:t>
      </w:r>
    </w:p>
    <w:p w14:paraId="10548791" w14:textId="77777777" w:rsidR="006261C7" w:rsidRPr="002934CA" w:rsidRDefault="006261C7" w:rsidP="008117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1077" w:hanging="357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>zaprezentowane na co najmniej 3 konferencjach naukowych lub technicznych, w tym co najmniej 1 o randze ogólnokrajowej, lub</w:t>
      </w:r>
    </w:p>
    <w:p w14:paraId="15E16C7E" w14:textId="77777777" w:rsidR="006261C7" w:rsidRPr="002934CA" w:rsidRDefault="006261C7" w:rsidP="008117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1077" w:hanging="357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opublikowane w co najmniej 2 czasopismach naukowych lub technicznych (zawartych w wykazie czasopism opublikowanym przez </w:t>
      </w:r>
      <w:proofErr w:type="spellStart"/>
      <w:r w:rsidRPr="002934CA">
        <w:rPr>
          <w:rFonts w:cstheme="minorHAnsi"/>
          <w:sz w:val="24"/>
          <w:szCs w:val="24"/>
        </w:rPr>
        <w:t>MEiN</w:t>
      </w:r>
      <w:proofErr w:type="spellEnd"/>
      <w:r w:rsidRPr="002934CA">
        <w:rPr>
          <w:rFonts w:cstheme="minorHAnsi"/>
          <w:sz w:val="24"/>
          <w:szCs w:val="24"/>
        </w:rPr>
        <w:t>, aktualnym na dzień przyjęcia artykułu do druku), lub</w:t>
      </w:r>
    </w:p>
    <w:p w14:paraId="040BD4B3" w14:textId="77777777" w:rsidR="006261C7" w:rsidRPr="002934CA" w:rsidRDefault="006261C7" w:rsidP="008117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1077" w:hanging="357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>opublikowane w powszechnie dostępnych bazach danych, zapewniających swobodny dostęp do uzyskanych wyników badań, lub</w:t>
      </w:r>
    </w:p>
    <w:p w14:paraId="54EB8FF9" w14:textId="77777777" w:rsidR="006261C7" w:rsidRPr="002934CA" w:rsidRDefault="006261C7" w:rsidP="008117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1077" w:hanging="357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>w całości rozpowszechnione za pośrednictwem oprogramowania bezpłatnego lub oprogramowania z licencją otwartego dostępu.</w:t>
      </w:r>
    </w:p>
    <w:p w14:paraId="6BFF1F18" w14:textId="77777777" w:rsidR="006261C7" w:rsidRPr="002934CA" w:rsidRDefault="006261C7" w:rsidP="002934CA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>Przeprowadzenie ww. działań upowszechniających będzie przedmiotem monitorowania a także kontroli przedsięwzięcia prowadzonej w ramach kontroli na miejscu realizacji projektu przez Instytucję Pośredniczącą. Rozpowszechnianie wyników prac B+R w gospodarce regionalnej musi nastąpić w okresie trwałości projektu.</w:t>
      </w:r>
    </w:p>
    <w:p w14:paraId="3C7F5CAE" w14:textId="77777777" w:rsidR="00DF49A8" w:rsidRDefault="00BB49E8" w:rsidP="00CB6E5B">
      <w:pPr>
        <w:spacing w:after="120" w:line="276" w:lineRule="auto"/>
        <w:rPr>
          <w:rFonts w:cstheme="minorHAnsi"/>
          <w:b/>
          <w:sz w:val="24"/>
          <w:szCs w:val="24"/>
        </w:rPr>
      </w:pPr>
      <w:r w:rsidRPr="00CB6E5B">
        <w:rPr>
          <w:rFonts w:cstheme="minorHAnsi"/>
          <w:sz w:val="24"/>
          <w:szCs w:val="24"/>
        </w:rPr>
        <w:t xml:space="preserve">W ramach tego typu projektu finansowane będą wydatki przeznaczone na </w:t>
      </w:r>
      <w:r w:rsidR="001C1870" w:rsidRPr="00CB6E5B">
        <w:rPr>
          <w:rFonts w:cstheme="minorHAnsi"/>
          <w:sz w:val="24"/>
          <w:szCs w:val="24"/>
        </w:rPr>
        <w:t xml:space="preserve">prowadzenie badań przemysłowych i eksperymentalnych prac rozwojowych. </w:t>
      </w:r>
      <w:r w:rsidR="00DF49A8" w:rsidRPr="00CB6E5B">
        <w:rPr>
          <w:rFonts w:cstheme="minorHAnsi"/>
          <w:b/>
          <w:sz w:val="24"/>
          <w:szCs w:val="24"/>
        </w:rPr>
        <w:t>Nie będą kwalifikowane koszty związane z prowadzeniem badań podstawowych</w:t>
      </w:r>
      <w:r w:rsidR="001C1870" w:rsidRPr="00CB6E5B">
        <w:rPr>
          <w:rFonts w:cstheme="minorHAnsi"/>
          <w:b/>
          <w:sz w:val="24"/>
          <w:szCs w:val="24"/>
        </w:rPr>
        <w:t>.</w:t>
      </w:r>
    </w:p>
    <w:p w14:paraId="7D13480A" w14:textId="77777777" w:rsidR="00AA3113" w:rsidRPr="00BD1551" w:rsidRDefault="00AA3113" w:rsidP="00AA3113">
      <w:pPr>
        <w:autoSpaceDE w:val="0"/>
        <w:autoSpaceDN w:val="0"/>
        <w:adjustRightInd w:val="0"/>
        <w:spacing w:after="120" w:line="276" w:lineRule="auto"/>
        <w:rPr>
          <w:rFonts w:cstheme="minorHAnsi"/>
          <w:sz w:val="28"/>
          <w:szCs w:val="24"/>
        </w:rPr>
      </w:pPr>
      <w:r>
        <w:rPr>
          <w:rFonts w:ascii="Calibri" w:hAnsi="Calibri" w:cs="Calibri"/>
          <w:color w:val="000000"/>
          <w:sz w:val="24"/>
        </w:rPr>
        <w:t>T</w:t>
      </w:r>
      <w:r w:rsidRPr="00BD1551">
        <w:rPr>
          <w:rFonts w:ascii="Calibri" w:hAnsi="Calibri" w:cs="Calibri"/>
          <w:color w:val="000000"/>
          <w:sz w:val="24"/>
        </w:rPr>
        <w:t xml:space="preserve">worzenie oprogramowania </w:t>
      </w:r>
      <w:r>
        <w:rPr>
          <w:rFonts w:ascii="Calibri" w:hAnsi="Calibri" w:cs="Calibri"/>
          <w:color w:val="000000"/>
          <w:sz w:val="24"/>
        </w:rPr>
        <w:t>może zostać</w:t>
      </w:r>
      <w:r w:rsidRPr="00BD1551">
        <w:rPr>
          <w:rFonts w:ascii="Calibri" w:hAnsi="Calibri" w:cs="Calibri"/>
          <w:color w:val="000000"/>
          <w:sz w:val="24"/>
        </w:rPr>
        <w:t xml:space="preserve"> zaklasyfikowane jako prace</w:t>
      </w:r>
      <w:r>
        <w:rPr>
          <w:rFonts w:ascii="Calibri" w:hAnsi="Calibri" w:cs="Calibri"/>
          <w:color w:val="000000"/>
          <w:sz w:val="24"/>
        </w:rPr>
        <w:t xml:space="preserve"> B+R</w:t>
      </w:r>
      <w:r w:rsidRPr="00BD1551">
        <w:rPr>
          <w:rFonts w:ascii="Calibri" w:hAnsi="Calibri" w:cs="Calibri"/>
          <w:color w:val="000000"/>
          <w:sz w:val="24"/>
        </w:rPr>
        <w:t xml:space="preserve"> </w:t>
      </w:r>
      <w:r>
        <w:rPr>
          <w:rFonts w:ascii="Calibri" w:hAnsi="Calibri" w:cs="Calibri"/>
          <w:color w:val="000000"/>
          <w:sz w:val="24"/>
        </w:rPr>
        <w:t xml:space="preserve">pod </w:t>
      </w:r>
      <w:r w:rsidRPr="00BD1551">
        <w:rPr>
          <w:rFonts w:ascii="Calibri" w:hAnsi="Calibri" w:cs="Calibri"/>
          <w:color w:val="000000"/>
          <w:sz w:val="24"/>
        </w:rPr>
        <w:t>warunkiem</w:t>
      </w:r>
      <w:r w:rsidR="001C1845">
        <w:rPr>
          <w:rFonts w:ascii="Calibri" w:hAnsi="Calibri" w:cs="Calibri"/>
          <w:color w:val="000000"/>
          <w:sz w:val="24"/>
        </w:rPr>
        <w:t>,</w:t>
      </w:r>
      <w:r w:rsidRPr="00BD1551">
        <w:rPr>
          <w:rFonts w:ascii="Calibri" w:hAnsi="Calibri" w:cs="Calibri"/>
          <w:color w:val="000000"/>
          <w:sz w:val="24"/>
        </w:rPr>
        <w:t xml:space="preserve"> </w:t>
      </w:r>
      <w:r>
        <w:rPr>
          <w:rFonts w:ascii="Calibri" w:hAnsi="Calibri" w:cs="Calibri"/>
          <w:color w:val="000000"/>
          <w:sz w:val="24"/>
        </w:rPr>
        <w:t>że w wyniku ich zakończenia dokonany zostanie postęp naukowy</w:t>
      </w:r>
      <w:r w:rsidRPr="00BD1551">
        <w:rPr>
          <w:rFonts w:ascii="Calibri" w:hAnsi="Calibri" w:cs="Calibri"/>
          <w:color w:val="000000"/>
          <w:sz w:val="24"/>
        </w:rPr>
        <w:t xml:space="preserve"> </w:t>
      </w:r>
      <w:r>
        <w:rPr>
          <w:rFonts w:ascii="Calibri" w:hAnsi="Calibri" w:cs="Calibri"/>
          <w:color w:val="000000"/>
          <w:sz w:val="24"/>
        </w:rPr>
        <w:t>lub techniczny</w:t>
      </w:r>
      <w:r w:rsidRPr="00BD1551">
        <w:rPr>
          <w:rFonts w:ascii="Calibri" w:hAnsi="Calibri" w:cs="Calibri"/>
          <w:color w:val="000000"/>
          <w:sz w:val="24"/>
        </w:rPr>
        <w:t xml:space="preserve">, a </w:t>
      </w:r>
      <w:r>
        <w:rPr>
          <w:rFonts w:ascii="Calibri" w:hAnsi="Calibri" w:cs="Calibri"/>
          <w:color w:val="000000"/>
          <w:sz w:val="24"/>
        </w:rPr>
        <w:t xml:space="preserve">ich </w:t>
      </w:r>
      <w:r w:rsidRPr="00BD1551">
        <w:rPr>
          <w:rFonts w:ascii="Calibri" w:hAnsi="Calibri" w:cs="Calibri"/>
          <w:color w:val="000000"/>
          <w:sz w:val="24"/>
        </w:rPr>
        <w:t>celem musi być wyeliminowanie elementu naukowej lub technicznej niepewności w sposób</w:t>
      </w:r>
      <w:r w:rsidR="006D7811">
        <w:rPr>
          <w:rFonts w:ascii="Calibri" w:hAnsi="Calibri" w:cs="Calibri"/>
          <w:color w:val="000000"/>
          <w:sz w:val="24"/>
        </w:rPr>
        <w:t xml:space="preserve"> </w:t>
      </w:r>
      <w:r w:rsidRPr="00BD1551">
        <w:rPr>
          <w:rFonts w:ascii="Calibri" w:hAnsi="Calibri" w:cs="Calibri"/>
          <w:color w:val="000000"/>
          <w:sz w:val="24"/>
        </w:rPr>
        <w:t>metodyczny. Tworzenie oprogramowania może zatem kwalifikować się do działalności B+R, ale tylko jeśli pociąga za sobą postęp nauki lub techniki prowadzący do zwiększenia zakresu wiedzy w tej dziedzinie. Wnioskodawca powinien wykazać, że zaplanowane prace nie mają charakteru rutynowego.</w:t>
      </w:r>
    </w:p>
    <w:p w14:paraId="67BF96C0" w14:textId="77777777" w:rsidR="00AA3113" w:rsidRPr="00BD1551" w:rsidRDefault="00AA3113" w:rsidP="00AA3113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color w:val="000000"/>
          <w:sz w:val="24"/>
        </w:rPr>
      </w:pPr>
      <w:r w:rsidRPr="00BD1551">
        <w:rPr>
          <w:rFonts w:ascii="Calibri" w:hAnsi="Calibri" w:cs="Calibri"/>
          <w:color w:val="000000"/>
          <w:sz w:val="24"/>
        </w:rPr>
        <w:t>Przykłady czynności, które nie będą uznane za prace badawczo-rozwojowe:</w:t>
      </w:r>
    </w:p>
    <w:p w14:paraId="3C072BFA" w14:textId="77777777" w:rsidR="00AA3113" w:rsidRPr="00BD1551" w:rsidRDefault="00AA3113" w:rsidP="00AA3113">
      <w:pPr>
        <w:pStyle w:val="Akapitzlist"/>
        <w:numPr>
          <w:ilvl w:val="0"/>
          <w:numId w:val="15"/>
        </w:numPr>
        <w:spacing w:after="120" w:line="276" w:lineRule="auto"/>
        <w:ind w:left="714" w:hanging="357"/>
        <w:rPr>
          <w:sz w:val="24"/>
        </w:rPr>
      </w:pPr>
      <w:r w:rsidRPr="00BD1551">
        <w:rPr>
          <w:sz w:val="24"/>
        </w:rPr>
        <w:t>opracowywanie systemów i aplikacji na podstawie istniejących narzędzi informatycznych i znanych metod;</w:t>
      </w:r>
    </w:p>
    <w:p w14:paraId="7A2EE2B2" w14:textId="77777777" w:rsidR="00AA3113" w:rsidRPr="00BD1551" w:rsidRDefault="00AA3113" w:rsidP="00AA3113">
      <w:pPr>
        <w:pStyle w:val="Akapitzlist"/>
        <w:numPr>
          <w:ilvl w:val="0"/>
          <w:numId w:val="15"/>
        </w:numPr>
        <w:spacing w:after="120" w:line="276" w:lineRule="auto"/>
        <w:ind w:left="714" w:hanging="357"/>
        <w:rPr>
          <w:sz w:val="24"/>
        </w:rPr>
      </w:pPr>
      <w:r w:rsidRPr="00BD1551">
        <w:rPr>
          <w:sz w:val="24"/>
        </w:rPr>
        <w:t>wzbogacanie funkcjonalności dla użytkowników w istniejących programach użytkowych;</w:t>
      </w:r>
    </w:p>
    <w:p w14:paraId="73BBAE70" w14:textId="77777777" w:rsidR="00AA3113" w:rsidRPr="00BD1551" w:rsidRDefault="00AA3113" w:rsidP="00AA3113">
      <w:pPr>
        <w:pStyle w:val="Akapitzlist"/>
        <w:numPr>
          <w:ilvl w:val="0"/>
          <w:numId w:val="15"/>
        </w:numPr>
        <w:spacing w:after="120" w:line="276" w:lineRule="auto"/>
        <w:ind w:left="714" w:hanging="357"/>
        <w:rPr>
          <w:sz w:val="24"/>
        </w:rPr>
      </w:pPr>
      <w:r w:rsidRPr="00BD1551">
        <w:rPr>
          <w:sz w:val="24"/>
        </w:rPr>
        <w:t>tworzenie oprogramowania i/lub stron www z użyciem istniejących narzędzi;</w:t>
      </w:r>
    </w:p>
    <w:p w14:paraId="021FEE8F" w14:textId="77777777" w:rsidR="00AA3113" w:rsidRPr="00BD1551" w:rsidRDefault="00AA3113" w:rsidP="00AA3113">
      <w:pPr>
        <w:pStyle w:val="Akapitzlist"/>
        <w:numPr>
          <w:ilvl w:val="0"/>
          <w:numId w:val="15"/>
        </w:numPr>
        <w:spacing w:after="120" w:line="276" w:lineRule="auto"/>
        <w:ind w:left="714" w:hanging="357"/>
        <w:rPr>
          <w:sz w:val="24"/>
        </w:rPr>
      </w:pPr>
      <w:r w:rsidRPr="00BD1551">
        <w:rPr>
          <w:sz w:val="24"/>
        </w:rPr>
        <w:t>używanie standardowych metod weryfikacji bezpieczeństwa, kodowania i testowania integralności danych;</w:t>
      </w:r>
    </w:p>
    <w:p w14:paraId="1E0F9EC5" w14:textId="77777777" w:rsidR="00AA3113" w:rsidRPr="00BD1551" w:rsidRDefault="00AA3113" w:rsidP="00AA3113">
      <w:pPr>
        <w:pStyle w:val="Akapitzlist"/>
        <w:numPr>
          <w:ilvl w:val="0"/>
          <w:numId w:val="15"/>
        </w:numPr>
        <w:spacing w:after="120" w:line="276" w:lineRule="auto"/>
        <w:ind w:left="714" w:hanging="357"/>
        <w:rPr>
          <w:sz w:val="24"/>
        </w:rPr>
      </w:pPr>
      <w:r w:rsidRPr="00BD1551">
        <w:rPr>
          <w:sz w:val="24"/>
        </w:rPr>
        <w:t>dostosowywanie produktów i usług do określonych zastosowań, jeśli w ramach tego procesu nie jest uwzględniana wiedza, która przyczynia się do znaczącego ulepszenia wyjściowego oprogramowania;</w:t>
      </w:r>
    </w:p>
    <w:p w14:paraId="584AB599" w14:textId="77777777" w:rsidR="00AA3113" w:rsidRPr="00AA3113" w:rsidRDefault="00AA3113" w:rsidP="00CB6E5B">
      <w:pPr>
        <w:pStyle w:val="Akapitzlist"/>
        <w:numPr>
          <w:ilvl w:val="0"/>
          <w:numId w:val="15"/>
        </w:numPr>
        <w:spacing w:after="120" w:line="276" w:lineRule="auto"/>
        <w:ind w:left="714" w:hanging="357"/>
        <w:rPr>
          <w:sz w:val="24"/>
        </w:rPr>
      </w:pPr>
      <w:r w:rsidRPr="00BD1551">
        <w:rPr>
          <w:sz w:val="24"/>
        </w:rPr>
        <w:t>rutynowe usuwanie błędów z systemów i programów (</w:t>
      </w:r>
      <w:proofErr w:type="spellStart"/>
      <w:r w:rsidRPr="00BD1551">
        <w:rPr>
          <w:sz w:val="24"/>
        </w:rPr>
        <w:t>debugging</w:t>
      </w:r>
      <w:proofErr w:type="spellEnd"/>
      <w:r w:rsidRPr="00BD1551">
        <w:rPr>
          <w:sz w:val="24"/>
        </w:rPr>
        <w:t>), jeśli nie jest wykonywane jeszcze przed zakończeniem eksperymentalnych prac rozwojowych.</w:t>
      </w:r>
    </w:p>
    <w:p w14:paraId="45258ABE" w14:textId="77777777" w:rsidR="006044B1" w:rsidRPr="00E607EF" w:rsidRDefault="00525445" w:rsidP="00CB6E5B">
      <w:pPr>
        <w:tabs>
          <w:tab w:val="left" w:pos="5220"/>
        </w:tabs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E607EF">
        <w:rPr>
          <w:rFonts w:cstheme="minorHAnsi"/>
          <w:b/>
          <w:bCs/>
          <w:sz w:val="24"/>
          <w:szCs w:val="24"/>
        </w:rPr>
        <w:t>Koszty kwalifikowalne projektów badawczo-rozwojowych przypisuje się do konkretnej kategorii działalności badawczo-rozwojowej i obejmują one:</w:t>
      </w:r>
    </w:p>
    <w:p w14:paraId="4C4884E6" w14:textId="77777777" w:rsidR="006044B1" w:rsidRPr="00CB6E5B" w:rsidRDefault="00525445" w:rsidP="00CB6E5B">
      <w:pPr>
        <w:pStyle w:val="Akapitzlist"/>
        <w:numPr>
          <w:ilvl w:val="0"/>
          <w:numId w:val="13"/>
        </w:numPr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b/>
          <w:sz w:val="24"/>
          <w:szCs w:val="24"/>
        </w:rPr>
      </w:pPr>
      <w:r w:rsidRPr="00CB6E5B">
        <w:rPr>
          <w:rFonts w:cstheme="minorHAnsi"/>
          <w:b/>
          <w:sz w:val="24"/>
          <w:szCs w:val="24"/>
        </w:rPr>
        <w:t>koszty personelu tj. badaczy, techników i pozostałych pracowników pomocniczych w zakresie, w jakim są oni z</w:t>
      </w:r>
      <w:r w:rsidR="006044B1" w:rsidRPr="00CB6E5B">
        <w:rPr>
          <w:rFonts w:cstheme="minorHAnsi"/>
          <w:b/>
          <w:sz w:val="24"/>
          <w:szCs w:val="24"/>
        </w:rPr>
        <w:t>atrudnieni przy danym projekcie.</w:t>
      </w:r>
      <w:r w:rsidRPr="00CB6E5B">
        <w:rPr>
          <w:rFonts w:cstheme="minorHAnsi"/>
          <w:b/>
          <w:sz w:val="24"/>
          <w:szCs w:val="24"/>
        </w:rPr>
        <w:t xml:space="preserve"> </w:t>
      </w:r>
    </w:p>
    <w:p w14:paraId="151F3849" w14:textId="77777777" w:rsidR="009760C2" w:rsidRPr="00CB6E5B" w:rsidRDefault="00525445" w:rsidP="00CB6E5B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 xml:space="preserve">W ramach tej kategorii kwalifikowane są koszty wynagrodzeń zgodnie z </w:t>
      </w:r>
      <w:hyperlink r:id="rId10" w:history="1">
        <w:r w:rsidR="00BD3A73" w:rsidRPr="00CB6E5B">
          <w:rPr>
            <w:rStyle w:val="Hipercze"/>
            <w:rFonts w:cstheme="minorHAnsi"/>
            <w:sz w:val="24"/>
            <w:szCs w:val="24"/>
          </w:rPr>
          <w:t>Wytycznymi dotyczącymi kwalifikowalności 2021-2027</w:t>
        </w:r>
      </w:hyperlink>
      <w:r w:rsidR="00BD3A73" w:rsidRPr="00CB6E5B">
        <w:rPr>
          <w:rFonts w:cstheme="minorHAnsi"/>
          <w:sz w:val="24"/>
          <w:szCs w:val="24"/>
        </w:rPr>
        <w:t xml:space="preserve"> (Podrozdział 3.8.</w:t>
      </w:r>
      <w:r w:rsidR="008163B7" w:rsidRPr="00CB6E5B">
        <w:rPr>
          <w:rFonts w:cstheme="minorHAnsi"/>
          <w:sz w:val="24"/>
          <w:szCs w:val="24"/>
        </w:rPr>
        <w:t>, Podrozdział 2.3 – w zakresie niekwalifikowalnych kosztów</w:t>
      </w:r>
      <w:r w:rsidR="00BD3A73" w:rsidRPr="00CB6E5B">
        <w:rPr>
          <w:rFonts w:cstheme="minorHAnsi"/>
          <w:sz w:val="24"/>
          <w:szCs w:val="24"/>
        </w:rPr>
        <w:t>).</w:t>
      </w:r>
    </w:p>
    <w:p w14:paraId="5CC28A1A" w14:textId="6C450F24" w:rsidR="002454B2" w:rsidRPr="00E607EF" w:rsidRDefault="00FE2B1B" w:rsidP="00E607EF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Wydatki na wynagrodzenie personelu są kwalifikowalne pod warunkiem, że ich wysokość odpowiada stawkom faktycznie stosowanym u beneficjenta poza projektami współfinansowanymi z funduszy strukturalnych i na analogicznych stanowiskach lub na stanowiskach wymagających analogicznych kwalifikacji</w:t>
      </w:r>
      <w:r w:rsidRPr="007468C4">
        <w:rPr>
          <w:rFonts w:cstheme="minorHAnsi"/>
          <w:sz w:val="24"/>
          <w:szCs w:val="24"/>
        </w:rPr>
        <w:t xml:space="preserve">. </w:t>
      </w:r>
      <w:r w:rsidR="006A60A0" w:rsidRPr="007468C4">
        <w:rPr>
          <w:rFonts w:cstheme="minorHAnsi"/>
          <w:sz w:val="24"/>
          <w:szCs w:val="24"/>
        </w:rPr>
        <w:t xml:space="preserve">Powyższe potwierdzone powinno być poprzez załączenie </w:t>
      </w:r>
      <w:r w:rsidR="009D732C" w:rsidRPr="007468C4">
        <w:rPr>
          <w:rFonts w:cstheme="minorHAnsi"/>
          <w:sz w:val="24"/>
          <w:szCs w:val="24"/>
        </w:rPr>
        <w:t>rocznych kart przychodów pracownika</w:t>
      </w:r>
      <w:r w:rsidR="006A60A0" w:rsidRPr="007468C4">
        <w:rPr>
          <w:rFonts w:cstheme="minorHAnsi"/>
          <w:sz w:val="24"/>
          <w:szCs w:val="24"/>
        </w:rPr>
        <w:t>.</w:t>
      </w:r>
      <w:r w:rsidR="006A60A0" w:rsidRPr="00CB6E5B">
        <w:rPr>
          <w:rFonts w:cstheme="minorHAnsi"/>
          <w:sz w:val="24"/>
          <w:szCs w:val="24"/>
        </w:rPr>
        <w:t xml:space="preserve"> </w:t>
      </w:r>
      <w:r w:rsidRPr="00CB6E5B">
        <w:rPr>
          <w:rFonts w:cstheme="minorHAnsi"/>
          <w:sz w:val="24"/>
          <w:szCs w:val="24"/>
        </w:rPr>
        <w:t xml:space="preserve">W przypadku osób </w:t>
      </w:r>
      <w:r w:rsidR="00525445" w:rsidRPr="00CB6E5B">
        <w:rPr>
          <w:rFonts w:cstheme="minorHAnsi"/>
          <w:sz w:val="24"/>
          <w:szCs w:val="24"/>
        </w:rPr>
        <w:t xml:space="preserve">nowozatrudnionych należy przyjąć uśrednione ostatnie roczne udokumentowane koszty zatrudnienia brutto pracowników jednostki na takim samym lub zbliżonym stanowisku służbowym (wykonujących zadania o zbliżonym charakterze i zakresie obowiązków). Zatrudniony personel musi posiadać odpowiednie kwalifikacje do prowadzenia badań przemysłowych lub </w:t>
      </w:r>
      <w:r w:rsidR="001738C3" w:rsidRPr="00CB6E5B">
        <w:rPr>
          <w:rFonts w:cstheme="minorHAnsi"/>
          <w:sz w:val="24"/>
          <w:szCs w:val="24"/>
        </w:rPr>
        <w:t xml:space="preserve">eksperymentalnych </w:t>
      </w:r>
      <w:r w:rsidR="00525445" w:rsidRPr="00CB6E5B">
        <w:rPr>
          <w:rFonts w:cstheme="minorHAnsi"/>
          <w:sz w:val="24"/>
          <w:szCs w:val="24"/>
        </w:rPr>
        <w:t xml:space="preserve">prac rozwojowych w ramach projektu. </w:t>
      </w:r>
    </w:p>
    <w:p w14:paraId="7A053CE6" w14:textId="603931AE" w:rsidR="002454B2" w:rsidRPr="00CB6E5B" w:rsidRDefault="002454B2" w:rsidP="002454B2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540378">
        <w:rPr>
          <w:rFonts w:cstheme="minorHAnsi"/>
          <w:sz w:val="24"/>
          <w:szCs w:val="24"/>
          <w:u w:val="single"/>
        </w:rPr>
        <w:t>W tej kategorii nie są kwalifikowane koszty dotyczące funkcji zarządczych, nadzorczych i koordynujących</w:t>
      </w:r>
      <w:r w:rsidRPr="005C121B">
        <w:rPr>
          <w:rFonts w:cstheme="minorHAnsi"/>
          <w:sz w:val="24"/>
          <w:szCs w:val="24"/>
        </w:rPr>
        <w:t>.</w:t>
      </w:r>
      <w:r w:rsidRPr="00540378">
        <w:rPr>
          <w:rFonts w:cstheme="minorHAnsi"/>
          <w:b/>
          <w:bCs/>
          <w:sz w:val="24"/>
          <w:szCs w:val="24"/>
        </w:rPr>
        <w:t xml:space="preserve"> </w:t>
      </w:r>
      <w:r w:rsidRPr="00540378">
        <w:rPr>
          <w:rFonts w:cstheme="minorHAnsi"/>
          <w:sz w:val="24"/>
          <w:szCs w:val="24"/>
        </w:rPr>
        <w:t>W przypadku wykonywania przez daną osobę w ramach projektu zadań związanych z zarządzaniem, nadzorem lub koordynacją (np. kierownik zarządzający, kierownik B+R), koszt jej wynagrodzenia, niezależnie od wymiaru zaangażowania w czynności zarządcze i faktu łączenia ich z zadaniami badawczymi (również na podstawie innej formy zaangażowania w ramach projektu) stanowi w całości wydatek kwalifikowalny w kategorii koszty pośrednie (ogólne).</w:t>
      </w:r>
    </w:p>
    <w:p w14:paraId="5ED6374F" w14:textId="77777777" w:rsidR="000B0534" w:rsidRPr="00CB6E5B" w:rsidRDefault="00A93D64" w:rsidP="00CB6E5B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Wydatki są kwalifikowalne wyłącznie w zakresie i przez okres zaangażowania personelu projektu w realizację projektu badawczego</w:t>
      </w:r>
      <w:r w:rsidR="0001433A">
        <w:rPr>
          <w:rFonts w:cstheme="minorHAnsi"/>
          <w:sz w:val="24"/>
          <w:szCs w:val="24"/>
        </w:rPr>
        <w:t>, będącego przedmiotem projektu, zgodnie z faktycznym w</w:t>
      </w:r>
      <w:r w:rsidR="0001433A" w:rsidRPr="0001433A">
        <w:rPr>
          <w:rFonts w:cstheme="minorHAnsi"/>
          <w:sz w:val="24"/>
          <w:szCs w:val="24"/>
        </w:rPr>
        <w:t>ymiar</w:t>
      </w:r>
      <w:r w:rsidR="0001433A">
        <w:rPr>
          <w:rFonts w:cstheme="minorHAnsi"/>
          <w:sz w:val="24"/>
          <w:szCs w:val="24"/>
        </w:rPr>
        <w:t xml:space="preserve">em czasu pracy </w:t>
      </w:r>
      <w:r w:rsidR="0001433A" w:rsidRPr="0001433A">
        <w:rPr>
          <w:rFonts w:cstheme="minorHAnsi"/>
          <w:sz w:val="24"/>
          <w:szCs w:val="24"/>
        </w:rPr>
        <w:t>kadry naukowo - badawczej zaangażowanej w projekcie</w:t>
      </w:r>
      <w:r w:rsidR="0001433A">
        <w:rPr>
          <w:rFonts w:cstheme="minorHAnsi"/>
          <w:sz w:val="24"/>
          <w:szCs w:val="24"/>
        </w:rPr>
        <w:t>.</w:t>
      </w:r>
    </w:p>
    <w:p w14:paraId="094EF71A" w14:textId="1EAAA354" w:rsidR="00D90D01" w:rsidRPr="00E607EF" w:rsidRDefault="00525445" w:rsidP="00CB6E5B">
      <w:pPr>
        <w:pStyle w:val="Akapitzlist"/>
        <w:numPr>
          <w:ilvl w:val="0"/>
          <w:numId w:val="13"/>
        </w:numPr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b/>
          <w:sz w:val="24"/>
          <w:szCs w:val="24"/>
        </w:rPr>
        <w:t xml:space="preserve">koszty aparatury naukowo-badawczej i sprzętu służącego realizacji projektu badawczego w zakresie i przez okres, w jakim są one wykorzystywane na potrzeby projektu. </w:t>
      </w:r>
      <w:r w:rsidR="00D90D01" w:rsidRPr="00E607EF">
        <w:rPr>
          <w:rFonts w:cstheme="minorHAnsi"/>
          <w:bCs/>
          <w:sz w:val="24"/>
          <w:szCs w:val="24"/>
        </w:rPr>
        <w:t xml:space="preserve">Za </w:t>
      </w:r>
      <w:r w:rsidRPr="00E607EF">
        <w:rPr>
          <w:rFonts w:cstheme="minorHAnsi"/>
          <w:bCs/>
          <w:sz w:val="24"/>
          <w:szCs w:val="24"/>
        </w:rPr>
        <w:t xml:space="preserve">koszty kwalifikowalne uznaje się tylko </w:t>
      </w:r>
      <w:r w:rsidRPr="00E607EF">
        <w:rPr>
          <w:rFonts w:cstheme="minorHAnsi"/>
          <w:bCs/>
          <w:sz w:val="24"/>
          <w:szCs w:val="24"/>
          <w:u w:val="single"/>
        </w:rPr>
        <w:t>koszty amortyzacji odpowiadające okresowi realizacji projektu obliczone na podstawie powszechnie przyjętych zasad rachunkowości.</w:t>
      </w:r>
      <w:r w:rsidR="00D90D01">
        <w:rPr>
          <w:rFonts w:cstheme="minorHAnsi"/>
          <w:b/>
          <w:sz w:val="24"/>
          <w:szCs w:val="24"/>
          <w:u w:val="single"/>
        </w:rPr>
        <w:t xml:space="preserve"> </w:t>
      </w:r>
      <w:r w:rsidR="00BF62E0" w:rsidRPr="00E607EF">
        <w:rPr>
          <w:rFonts w:cstheme="minorHAnsi"/>
          <w:bCs/>
          <w:sz w:val="24"/>
          <w:szCs w:val="24"/>
          <w:u w:val="single"/>
        </w:rPr>
        <w:t>Jeśli aparatura i sprzęt wykorzystywane są także w innych celach niż realizacja projektu B+R, kwalifikowana jest tylko ta część odpisu amortyzacyjnego, która odpowiada proporcji wykorzystania aktywów przy realizacji prac B+R w projekcie.</w:t>
      </w:r>
      <w:r w:rsidR="00BF62E0">
        <w:rPr>
          <w:rFonts w:cstheme="minorHAnsi"/>
          <w:b/>
          <w:sz w:val="24"/>
          <w:szCs w:val="24"/>
          <w:u w:val="single"/>
        </w:rPr>
        <w:t xml:space="preserve"> </w:t>
      </w:r>
    </w:p>
    <w:p w14:paraId="5B14AB16" w14:textId="0D7221B3" w:rsidR="000B0534" w:rsidRPr="0047520C" w:rsidRDefault="00D90D01" w:rsidP="00E607EF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bCs/>
          <w:sz w:val="24"/>
          <w:szCs w:val="24"/>
        </w:rPr>
      </w:pPr>
      <w:r w:rsidRPr="00E607EF">
        <w:rPr>
          <w:rFonts w:cstheme="minorHAnsi"/>
          <w:bCs/>
          <w:sz w:val="24"/>
          <w:szCs w:val="24"/>
        </w:rPr>
        <w:t>W ramach tej kategorii kosztów możliwe jest rozliczanie kosztów amortyzacji elementów składowych prototypów, linii (instalacji) pilotażowych lub demonstracyjnych, jeśli nabywane elementy spełniają definicję środka trwałego w rozumieniu ustawy o rachunkowości. W takim przypadku, odpisy amortyzacyjne są kwalifikowane wyłącznie przez okres i w zakresie, w jakim będą wykorzystane do realizacji prac B+R.</w:t>
      </w:r>
    </w:p>
    <w:p w14:paraId="03365344" w14:textId="77777777" w:rsidR="000A70B6" w:rsidRPr="00E607EF" w:rsidRDefault="00525445" w:rsidP="00CB6E5B">
      <w:pPr>
        <w:pStyle w:val="Akapitzlist"/>
        <w:numPr>
          <w:ilvl w:val="0"/>
          <w:numId w:val="13"/>
        </w:numPr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b/>
          <w:sz w:val="24"/>
          <w:szCs w:val="24"/>
        </w:rPr>
        <w:t xml:space="preserve">koszty budynków i gruntów w zakresie i przez okres, w jakim są one wykorzystywane na potrzeby projektu. </w:t>
      </w:r>
    </w:p>
    <w:p w14:paraId="1BF5C00B" w14:textId="77777777" w:rsidR="00A53B36" w:rsidRDefault="00525445" w:rsidP="000A70B6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bCs/>
          <w:sz w:val="24"/>
          <w:szCs w:val="24"/>
        </w:rPr>
      </w:pPr>
      <w:r w:rsidRPr="00E607EF">
        <w:rPr>
          <w:rFonts w:cstheme="minorHAnsi"/>
          <w:bCs/>
          <w:sz w:val="24"/>
          <w:szCs w:val="24"/>
        </w:rPr>
        <w:t xml:space="preserve">Jeżeli chodzi o budynki, za koszty kwalifikowalne uznaje się tylko </w:t>
      </w:r>
      <w:r w:rsidRPr="00E607EF">
        <w:rPr>
          <w:rFonts w:cstheme="minorHAnsi"/>
          <w:bCs/>
          <w:sz w:val="24"/>
          <w:szCs w:val="24"/>
          <w:u w:val="single"/>
        </w:rPr>
        <w:t>koszty amortyzacji odpowiadające okresowi realizacji projektu</w:t>
      </w:r>
      <w:r w:rsidRPr="00E607EF">
        <w:rPr>
          <w:rFonts w:cstheme="minorHAnsi"/>
          <w:bCs/>
          <w:sz w:val="24"/>
          <w:szCs w:val="24"/>
        </w:rPr>
        <w:t xml:space="preserve"> obliczone na podstawie powszechnie przyjętych zasad rachunkowości. </w:t>
      </w:r>
    </w:p>
    <w:p w14:paraId="080E2253" w14:textId="34922ADE" w:rsidR="00A53B36" w:rsidRPr="00E607EF" w:rsidRDefault="00525445" w:rsidP="00A53B36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E607EF">
        <w:rPr>
          <w:rFonts w:cstheme="minorHAnsi"/>
          <w:bCs/>
          <w:sz w:val="24"/>
          <w:szCs w:val="24"/>
        </w:rPr>
        <w:t>W przypadku gruntów kosztami kwalifikowalnymi są koszty przekazania na zasadach handlowych lub faktycznie poniesione koszty kapitałowe</w:t>
      </w:r>
      <w:r w:rsidR="00A53B36">
        <w:rPr>
          <w:rFonts w:cstheme="minorHAnsi"/>
          <w:bCs/>
          <w:sz w:val="24"/>
          <w:szCs w:val="24"/>
        </w:rPr>
        <w:t xml:space="preserve">, jedynie w zakresie rat czynszu dzierżawnego i opłat za użytkowanie wieczyste w </w:t>
      </w:r>
      <w:r w:rsidR="00A53B36" w:rsidRPr="00E607EF">
        <w:rPr>
          <w:rFonts w:cstheme="minorHAnsi"/>
          <w:bCs/>
          <w:sz w:val="24"/>
          <w:szCs w:val="24"/>
        </w:rPr>
        <w:t>proporcji i okresie wykorzystania gruntów w celu realizacji prac B+R</w:t>
      </w:r>
      <w:r w:rsidR="00A53B36">
        <w:rPr>
          <w:rFonts w:cstheme="minorHAnsi"/>
          <w:bCs/>
          <w:sz w:val="24"/>
          <w:szCs w:val="24"/>
        </w:rPr>
        <w:t>.</w:t>
      </w:r>
      <w:r w:rsidR="00AD2E3E">
        <w:rPr>
          <w:rFonts w:cstheme="minorHAnsi"/>
          <w:bCs/>
          <w:sz w:val="24"/>
          <w:szCs w:val="24"/>
        </w:rPr>
        <w:t xml:space="preserve"> </w:t>
      </w:r>
      <w:r w:rsidRPr="00CB6E5B">
        <w:rPr>
          <w:rFonts w:cstheme="minorHAnsi"/>
          <w:sz w:val="24"/>
          <w:szCs w:val="24"/>
        </w:rPr>
        <w:t xml:space="preserve">W przypadku, gdy budynki wykorzystywane są także w innych celach niż realizacja projektu, kwalifikowana jest tylko ta część odpisu amortyzacyjnego, która odpowiada proporcji wykorzystania budynków w celu realizacji projektu objętego pomocą. </w:t>
      </w:r>
    </w:p>
    <w:p w14:paraId="3403A2E2" w14:textId="542AC681" w:rsidR="000B0534" w:rsidRPr="00CB6E5B" w:rsidRDefault="00525445" w:rsidP="00CB6E5B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B6E5B">
        <w:rPr>
          <w:rFonts w:cstheme="minorHAnsi"/>
          <w:sz w:val="24"/>
          <w:szCs w:val="24"/>
        </w:rPr>
        <w:t xml:space="preserve">W przypadku wskazanych powyżej kosztów budynków i gruntów łączna kwota wydatków kwalifikowanych w projekcie nie może przekroczyć 10% całkowitych kosztów kwalifikowanych projektu zgodnie z </w:t>
      </w:r>
      <w:r w:rsidR="00D05890" w:rsidRPr="00CB6E5B">
        <w:rPr>
          <w:rFonts w:cstheme="minorHAnsi"/>
          <w:sz w:val="24"/>
          <w:szCs w:val="24"/>
        </w:rPr>
        <w:t xml:space="preserve">Podrozdziałem 3.4 </w:t>
      </w:r>
      <w:hyperlink r:id="rId11" w:history="1">
        <w:r w:rsidR="00D05890" w:rsidRPr="00CB6E5B">
          <w:rPr>
            <w:rStyle w:val="Hipercze"/>
            <w:rFonts w:cstheme="minorHAnsi"/>
            <w:sz w:val="24"/>
            <w:szCs w:val="24"/>
          </w:rPr>
          <w:t>Wytycznych dotyczących kwalifikowalności 2021-2027</w:t>
        </w:r>
      </w:hyperlink>
    </w:p>
    <w:p w14:paraId="0A8C8415" w14:textId="77777777" w:rsidR="000B0534" w:rsidRPr="00CB6E5B" w:rsidRDefault="00525445" w:rsidP="00CB6E5B">
      <w:pPr>
        <w:pStyle w:val="Akapitzlist"/>
        <w:numPr>
          <w:ilvl w:val="0"/>
          <w:numId w:val="13"/>
        </w:numPr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b/>
          <w:sz w:val="24"/>
          <w:szCs w:val="24"/>
        </w:rPr>
        <w:t xml:space="preserve">koszty badań wykonywanych na podstawie umowy, wiedzy i patentów zakupionych lub użytkowanych na podstawie licencji udzielonej przez źródła zewnętrzne na warunkach pełnej konkurencji oraz koszty doradztwa i równorzędnych usług wykorzystywanych wyłącznie na potrzeby projektu. </w:t>
      </w:r>
    </w:p>
    <w:p w14:paraId="4BB3D426" w14:textId="77777777" w:rsidR="000B0534" w:rsidRPr="00CB6E5B" w:rsidRDefault="00D42006" w:rsidP="00CB6E5B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W ramach kategorii kwalifikowalne są koszty nabycia wart</w:t>
      </w:r>
      <w:r w:rsidR="007C7F39" w:rsidRPr="00CB6E5B">
        <w:rPr>
          <w:rFonts w:cstheme="minorHAnsi"/>
          <w:sz w:val="24"/>
          <w:szCs w:val="24"/>
        </w:rPr>
        <w:t>ości niematerialnych i prawnych</w:t>
      </w:r>
      <w:r w:rsidRPr="00CB6E5B">
        <w:rPr>
          <w:rFonts w:cstheme="minorHAnsi"/>
          <w:sz w:val="24"/>
          <w:szCs w:val="24"/>
        </w:rPr>
        <w:t xml:space="preserve"> nabytych od osób trzecich na warunkach rynkowych – w formie patentów zakupionych lub użytkowanych na podstawie licencji, know-how, nieopatentowanej wiedzy technicznej, ekspertyz, analiz, raportów badawczych itp., wykorzystywanych, aby prowadzić badania przemysłowe lub </w:t>
      </w:r>
      <w:r w:rsidR="00593866">
        <w:rPr>
          <w:rFonts w:cstheme="minorHAnsi"/>
          <w:sz w:val="24"/>
          <w:szCs w:val="24"/>
        </w:rPr>
        <w:t xml:space="preserve">eksperymentalne </w:t>
      </w:r>
      <w:r w:rsidRPr="00CB6E5B">
        <w:rPr>
          <w:rFonts w:cstheme="minorHAnsi"/>
          <w:sz w:val="24"/>
          <w:szCs w:val="24"/>
        </w:rPr>
        <w:t>prace rozwojowe</w:t>
      </w:r>
      <w:r w:rsidR="007C7F39" w:rsidRPr="00CB6E5B">
        <w:rPr>
          <w:rFonts w:cstheme="minorHAnsi"/>
          <w:sz w:val="24"/>
          <w:szCs w:val="24"/>
        </w:rPr>
        <w:t>.</w:t>
      </w:r>
    </w:p>
    <w:p w14:paraId="4CDE8A53" w14:textId="7D705B79" w:rsidR="000B0534" w:rsidRPr="00CB6E5B" w:rsidRDefault="00761DF4" w:rsidP="00961BB4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 xml:space="preserve">Wnioskodawca może zlecić realizację części prac B+R podwykonawcy. Podwykonawca powinien dysponować </w:t>
      </w:r>
      <w:r w:rsidRPr="00A706A2">
        <w:rPr>
          <w:rFonts w:cstheme="minorHAnsi"/>
          <w:sz w:val="24"/>
          <w:szCs w:val="24"/>
        </w:rPr>
        <w:t xml:space="preserve">odpowiednim potencjałem kadrowym i technicznym do realizacji zleconych prac. Podwykonawstwo w projekcie może zostać zlecone jedynie </w:t>
      </w:r>
      <w:r w:rsidRPr="00A706A2">
        <w:rPr>
          <w:rFonts w:cstheme="minorHAnsi"/>
          <w:b/>
          <w:sz w:val="24"/>
          <w:szCs w:val="24"/>
        </w:rPr>
        <w:t>do max</w:t>
      </w:r>
      <w:r w:rsidR="00387E14" w:rsidRPr="00A706A2">
        <w:rPr>
          <w:rFonts w:cstheme="minorHAnsi"/>
          <w:b/>
          <w:sz w:val="24"/>
          <w:szCs w:val="24"/>
        </w:rPr>
        <w:t>.</w:t>
      </w:r>
      <w:r w:rsidR="008B59EA" w:rsidRPr="00A706A2">
        <w:rPr>
          <w:rFonts w:cstheme="minorHAnsi"/>
          <w:b/>
          <w:sz w:val="24"/>
          <w:szCs w:val="24"/>
        </w:rPr>
        <w:t xml:space="preserve"> </w:t>
      </w:r>
      <w:r w:rsidR="00A21D50" w:rsidRPr="00A706A2">
        <w:rPr>
          <w:rFonts w:cstheme="minorHAnsi"/>
          <w:b/>
          <w:sz w:val="24"/>
          <w:szCs w:val="24"/>
        </w:rPr>
        <w:t>7</w:t>
      </w:r>
      <w:r w:rsidRPr="00A706A2">
        <w:rPr>
          <w:rFonts w:cstheme="minorHAnsi"/>
          <w:b/>
          <w:sz w:val="24"/>
          <w:szCs w:val="24"/>
        </w:rPr>
        <w:t>0% kosztów kwalifikowalnych projektu</w:t>
      </w:r>
      <w:r w:rsidR="000F0EFB" w:rsidRPr="00A706A2">
        <w:rPr>
          <w:rFonts w:cstheme="minorHAnsi"/>
          <w:b/>
          <w:sz w:val="24"/>
          <w:szCs w:val="24"/>
        </w:rPr>
        <w:t>.</w:t>
      </w:r>
    </w:p>
    <w:p w14:paraId="106D67CC" w14:textId="77777777" w:rsidR="00EC2C5E" w:rsidRPr="00CB6E5B" w:rsidRDefault="00761DF4" w:rsidP="00CB6E5B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 xml:space="preserve">Jako koszty podwykonawstwa należy rozumieć zlecanie stronie trzeciej części merytorycznych prac projektu, które nie są wykonywane na terenie i pod bezpośrednim nadzorem beneficjenta oraz koszty zasobów udostępnionych przez strony trzecie. Za podwykonawstwo nie uznaje się czynności pomocniczych, niezbędnych do wykonania zadań projektowych takich jak usługi prawne lub księgowe. Podwykonawcą w projekcie może być wyłącznie jednostka z sektora B+R, tj.: </w:t>
      </w:r>
    </w:p>
    <w:p w14:paraId="5033C830" w14:textId="77777777" w:rsidR="00EC2C5E" w:rsidRPr="00CB6E5B" w:rsidRDefault="00A95933" w:rsidP="00D5053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uczelnie;</w:t>
      </w:r>
    </w:p>
    <w:p w14:paraId="6D93B36D" w14:textId="77777777" w:rsidR="00EC2C5E" w:rsidRPr="00CB6E5B" w:rsidRDefault="00A95933" w:rsidP="00D5053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federacje podmiotów systemu szkolnictwa wyższego i nauki, zwane dalej „federacjami”;</w:t>
      </w:r>
    </w:p>
    <w:p w14:paraId="56573C35" w14:textId="77777777" w:rsidR="00EC2C5E" w:rsidRPr="00CB6E5B" w:rsidRDefault="00A95933" w:rsidP="00D5053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Polska Akademia Nauk, działająca na podstawie ustawy z dnia 30 kwietnia 2010 r. o Polskiej Akademii Nauk (Dz. U. z 2020 r. poz. 1796), zwana dalej „PAN”;</w:t>
      </w:r>
    </w:p>
    <w:p w14:paraId="6BAD8E66" w14:textId="77777777" w:rsidR="00EC2C5E" w:rsidRPr="00CB6E5B" w:rsidRDefault="00A95933" w:rsidP="00D5053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instytuty naukowe PAN, działające na podstawie ustawy, o której mowa w pkt 3, zwane dalej „instytutami PAN”;</w:t>
      </w:r>
    </w:p>
    <w:p w14:paraId="7C3CD464" w14:textId="77777777" w:rsidR="00EC2C5E" w:rsidRPr="00CB6E5B" w:rsidRDefault="00A95933" w:rsidP="00D5053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instytuty badawcze, działające na podstawie ustawy z dnia 30 kwietnia 2010 r. o instytutach badawczych (Dz. U. z 2022 r. poz. 498);</w:t>
      </w:r>
    </w:p>
    <w:p w14:paraId="44ACEB8D" w14:textId="77777777" w:rsidR="00EC2C5E" w:rsidRPr="00CB6E5B" w:rsidRDefault="00A95933" w:rsidP="00D5053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międzynarodowe instytuty naukowe utworzone na podstawie odrębnych ustaw działające na terytorium Rzeczypospolitej Polskiej, zwane dalej „instytutami międzynarodowymi”;</w:t>
      </w:r>
    </w:p>
    <w:p w14:paraId="38D5575D" w14:textId="77777777" w:rsidR="00EC2C5E" w:rsidRPr="00CB6E5B" w:rsidRDefault="00A95933" w:rsidP="00D5053C">
      <w:pPr>
        <w:pStyle w:val="Akapitzlist"/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6a. Centrum Łukasiewicz, działające na podstawie ustawy z dnia 21 lutego 2019 r. o Sieci Badawczej Łukasiewicz (Dz. U. z 2020 r. poz. 2098);</w:t>
      </w:r>
    </w:p>
    <w:p w14:paraId="6B856E23" w14:textId="77777777" w:rsidR="00EC2C5E" w:rsidRPr="00CB6E5B" w:rsidRDefault="00A95933" w:rsidP="00D5053C">
      <w:pPr>
        <w:pStyle w:val="Akapitzlist"/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6b. instytuty działające w ramach Sieci Badawczej Łukasiewicz, zwane dalej „instytutami Sieci Łukasiewicz”;</w:t>
      </w:r>
    </w:p>
    <w:p w14:paraId="78DF2F5F" w14:textId="77777777" w:rsidR="00EC2C5E" w:rsidRPr="00CB6E5B" w:rsidRDefault="00A95933" w:rsidP="00D5053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Polska Akademia Umiejętności, zwana dalej „PAU”;</w:t>
      </w:r>
    </w:p>
    <w:p w14:paraId="252936B1" w14:textId="77777777" w:rsidR="00EC2C5E" w:rsidRPr="00CB6E5B" w:rsidRDefault="00A95933" w:rsidP="00CB6E5B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inne podmioty prowadzące głównie działalność naukową w sposób samodzielny i ciągły*.</w:t>
      </w:r>
    </w:p>
    <w:p w14:paraId="3923DC6C" w14:textId="77777777" w:rsidR="000B0534" w:rsidRDefault="00A95933" w:rsidP="00D60F37">
      <w:pPr>
        <w:autoSpaceDE w:val="0"/>
        <w:autoSpaceDN w:val="0"/>
        <w:adjustRightInd w:val="0"/>
        <w:spacing w:after="120" w:line="276" w:lineRule="auto"/>
        <w:ind w:left="425"/>
        <w:rPr>
          <w:rFonts w:cstheme="minorHAnsi"/>
          <w:sz w:val="24"/>
          <w:szCs w:val="24"/>
        </w:rPr>
      </w:pPr>
      <w:r w:rsidRPr="00D60F37">
        <w:rPr>
          <w:rFonts w:cstheme="minorHAnsi"/>
          <w:sz w:val="24"/>
          <w:szCs w:val="24"/>
        </w:rPr>
        <w:t>*Jednocześnie w przypadku tych podmiotów konieczna jest ich zakończona pozytywna ewaluacja w oparciu o szczegółowe kryteria określone w rozporządzeniu Ministra Nauki i Szkolnictwa Wyższego lub dla laboratoriów badawczych nadana przez PCA akredytacja.</w:t>
      </w:r>
    </w:p>
    <w:p w14:paraId="2FCBF6F3" w14:textId="77777777" w:rsidR="00DF768A" w:rsidRPr="00DF768A" w:rsidRDefault="00DF768A" w:rsidP="00CB6E5B">
      <w:pPr>
        <w:autoSpaceDE w:val="0"/>
        <w:autoSpaceDN w:val="0"/>
        <w:adjustRightInd w:val="0"/>
        <w:spacing w:after="120" w:line="276" w:lineRule="auto"/>
        <w:ind w:left="425"/>
        <w:rPr>
          <w:rFonts w:cs="Arial"/>
          <w:sz w:val="24"/>
          <w:lang w:eastAsia="pl-PL"/>
        </w:rPr>
      </w:pPr>
      <w:r w:rsidRPr="00DF768A">
        <w:rPr>
          <w:rFonts w:cs="Arial"/>
          <w:sz w:val="24"/>
          <w:lang w:eastAsia="pl-PL"/>
        </w:rPr>
        <w:t xml:space="preserve">Dopuszczalna jest współpraca z polską lub analogiczną, zagraniczną jednostką naukową.  </w:t>
      </w:r>
    </w:p>
    <w:p w14:paraId="3ECD8857" w14:textId="77777777" w:rsidR="00B511D0" w:rsidRDefault="00761DF4" w:rsidP="00CB6E5B">
      <w:pPr>
        <w:autoSpaceDE w:val="0"/>
        <w:autoSpaceDN w:val="0"/>
        <w:adjustRightInd w:val="0"/>
        <w:spacing w:after="120" w:line="276" w:lineRule="auto"/>
        <w:ind w:left="425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Podwykonawca nie może być podmiotem partnerski</w:t>
      </w:r>
      <w:r w:rsidR="000B0534" w:rsidRPr="00CB6E5B">
        <w:rPr>
          <w:rFonts w:cstheme="minorHAnsi"/>
          <w:sz w:val="24"/>
          <w:szCs w:val="24"/>
        </w:rPr>
        <w:t xml:space="preserve">m lub powiązanym w stosunku do </w:t>
      </w:r>
      <w:r w:rsidRPr="00CB6E5B">
        <w:rPr>
          <w:rFonts w:cstheme="minorHAnsi"/>
          <w:sz w:val="24"/>
          <w:szCs w:val="24"/>
        </w:rPr>
        <w:t>Wnioskodawcy, w rozumieniu Załącznika nr 1 rozporządzenia Komisji Europejskiej Nr 651/2014 z dnia 17 czerwca 2014 r.</w:t>
      </w:r>
    </w:p>
    <w:p w14:paraId="0C698941" w14:textId="3AAD8F23" w:rsidR="008D0CFD" w:rsidRPr="001947BA" w:rsidRDefault="008D0CFD" w:rsidP="00CB6E5B">
      <w:pPr>
        <w:autoSpaceDE w:val="0"/>
        <w:autoSpaceDN w:val="0"/>
        <w:adjustRightInd w:val="0"/>
        <w:spacing w:after="120" w:line="276" w:lineRule="auto"/>
        <w:ind w:left="425"/>
        <w:rPr>
          <w:rFonts w:cstheme="minorHAnsi"/>
          <w:sz w:val="24"/>
          <w:szCs w:val="24"/>
          <w:u w:val="single"/>
        </w:rPr>
      </w:pPr>
      <w:r w:rsidRPr="001947BA">
        <w:rPr>
          <w:rFonts w:cstheme="minorHAnsi"/>
          <w:sz w:val="24"/>
          <w:szCs w:val="24"/>
          <w:u w:val="single"/>
        </w:rPr>
        <w:t>Koszty podwykonawstwa wyłączone są z podstawy naliczania kosztów pośrednich.</w:t>
      </w:r>
    </w:p>
    <w:p w14:paraId="6DF4570E" w14:textId="77777777" w:rsidR="000B0534" w:rsidRPr="00CB6E5B" w:rsidRDefault="00B874EE" w:rsidP="00CB6E5B">
      <w:pPr>
        <w:pStyle w:val="Akapitzlist"/>
        <w:numPr>
          <w:ilvl w:val="0"/>
          <w:numId w:val="13"/>
        </w:numPr>
        <w:tabs>
          <w:tab w:val="left" w:pos="567"/>
        </w:tabs>
        <w:spacing w:after="120" w:line="276" w:lineRule="auto"/>
        <w:ind w:left="426" w:hanging="426"/>
        <w:contextualSpacing w:val="0"/>
        <w:rPr>
          <w:rFonts w:cstheme="minorHAnsi"/>
          <w:b/>
          <w:sz w:val="24"/>
          <w:szCs w:val="24"/>
        </w:rPr>
      </w:pPr>
      <w:r w:rsidRPr="00CB6E5B">
        <w:rPr>
          <w:rFonts w:cstheme="minorHAnsi"/>
          <w:b/>
          <w:sz w:val="24"/>
          <w:szCs w:val="24"/>
        </w:rPr>
        <w:t>dodatkowe koszty ogólne i inne koszty operacyjne, w tym koszty materiałów, dostaw i podobnych produktów, ponoszone bezpośrednio w wyniku realizacji projektu.</w:t>
      </w:r>
    </w:p>
    <w:p w14:paraId="51BCB20A" w14:textId="77777777" w:rsidR="00B874EE" w:rsidRPr="00CB6E5B" w:rsidRDefault="00B874EE" w:rsidP="00CB6E5B">
      <w:pPr>
        <w:pStyle w:val="Akapitzlist"/>
        <w:tabs>
          <w:tab w:val="left" w:pos="567"/>
        </w:tabs>
        <w:spacing w:after="120" w:line="276" w:lineRule="auto"/>
        <w:ind w:left="426"/>
        <w:contextualSpacing w:val="0"/>
        <w:rPr>
          <w:rFonts w:cstheme="minorHAnsi"/>
          <w:b/>
          <w:sz w:val="24"/>
          <w:szCs w:val="24"/>
        </w:rPr>
      </w:pPr>
      <w:r w:rsidRPr="00CB6E5B">
        <w:rPr>
          <w:rFonts w:cstheme="minorHAnsi"/>
          <w:sz w:val="24"/>
          <w:szCs w:val="24"/>
        </w:rPr>
        <w:t>W ramach tej kategorii kwalifikowane są następujące rodzaje kosztów:</w:t>
      </w:r>
    </w:p>
    <w:p w14:paraId="4F071082" w14:textId="63F9994C" w:rsidR="00A226EC" w:rsidRPr="00CB6E5B" w:rsidRDefault="00B874EE" w:rsidP="001B5BE9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koszty materiałów</w:t>
      </w:r>
      <w:r w:rsidR="00817115">
        <w:rPr>
          <w:rFonts w:cstheme="minorHAnsi"/>
          <w:sz w:val="24"/>
          <w:szCs w:val="24"/>
        </w:rPr>
        <w:t xml:space="preserve"> i środków eksploatacyjnych </w:t>
      </w:r>
      <w:r w:rsidR="004C6FE8">
        <w:rPr>
          <w:rFonts w:cstheme="minorHAnsi"/>
          <w:sz w:val="24"/>
          <w:szCs w:val="24"/>
        </w:rPr>
        <w:t xml:space="preserve">w zakresie i ilości </w:t>
      </w:r>
      <w:r w:rsidR="00817115">
        <w:rPr>
          <w:rFonts w:cstheme="minorHAnsi"/>
          <w:sz w:val="24"/>
          <w:szCs w:val="24"/>
        </w:rPr>
        <w:t>niezbędn</w:t>
      </w:r>
      <w:r w:rsidR="004C6FE8">
        <w:rPr>
          <w:rFonts w:cstheme="minorHAnsi"/>
          <w:sz w:val="24"/>
          <w:szCs w:val="24"/>
        </w:rPr>
        <w:t>ej</w:t>
      </w:r>
      <w:r w:rsidR="00817115">
        <w:rPr>
          <w:rFonts w:cstheme="minorHAnsi"/>
          <w:sz w:val="24"/>
          <w:szCs w:val="24"/>
        </w:rPr>
        <w:t xml:space="preserve"> do realizacji prac B+R w ramach projektu</w:t>
      </w:r>
      <w:r w:rsidRPr="00CB6E5B">
        <w:rPr>
          <w:rFonts w:cstheme="minorHAnsi"/>
          <w:sz w:val="24"/>
          <w:szCs w:val="24"/>
        </w:rPr>
        <w:t xml:space="preserve">, np. </w:t>
      </w:r>
      <w:r w:rsidR="00817115">
        <w:rPr>
          <w:rFonts w:cstheme="minorHAnsi"/>
          <w:sz w:val="24"/>
          <w:szCs w:val="24"/>
        </w:rPr>
        <w:t xml:space="preserve">koszty </w:t>
      </w:r>
      <w:r w:rsidRPr="00CB6E5B">
        <w:rPr>
          <w:rFonts w:cstheme="minorHAnsi"/>
          <w:sz w:val="24"/>
          <w:szCs w:val="24"/>
        </w:rPr>
        <w:t>suro</w:t>
      </w:r>
      <w:r w:rsidR="00FB5406" w:rsidRPr="00CB6E5B">
        <w:rPr>
          <w:rFonts w:cstheme="minorHAnsi"/>
          <w:sz w:val="24"/>
          <w:szCs w:val="24"/>
        </w:rPr>
        <w:t>wców, półproduktów, odczynników;</w:t>
      </w:r>
    </w:p>
    <w:p w14:paraId="5D113420" w14:textId="6BB1EE2C" w:rsidR="00A226EC" w:rsidRPr="007468C4" w:rsidRDefault="00B874EE" w:rsidP="001B5BE9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ind w:left="1281" w:hanging="357"/>
        <w:rPr>
          <w:rFonts w:cstheme="minorHAnsi"/>
          <w:sz w:val="24"/>
          <w:szCs w:val="24"/>
        </w:rPr>
      </w:pPr>
      <w:r w:rsidRPr="007468C4">
        <w:rPr>
          <w:rFonts w:cstheme="minorHAnsi"/>
          <w:sz w:val="24"/>
          <w:szCs w:val="24"/>
        </w:rPr>
        <w:t xml:space="preserve">koszty sprzętu laboratoryjnego </w:t>
      </w:r>
      <w:r w:rsidR="00817115">
        <w:rPr>
          <w:rFonts w:cstheme="minorHAnsi"/>
          <w:sz w:val="24"/>
          <w:szCs w:val="24"/>
        </w:rPr>
        <w:t>wykorzystywanego do realizacji prac B+R w ramach projektu</w:t>
      </w:r>
      <w:r w:rsidR="00817115" w:rsidRPr="007468C4">
        <w:rPr>
          <w:rFonts w:cstheme="minorHAnsi"/>
          <w:sz w:val="24"/>
          <w:szCs w:val="24"/>
        </w:rPr>
        <w:t xml:space="preserve"> </w:t>
      </w:r>
      <w:r w:rsidRPr="007468C4">
        <w:rPr>
          <w:rFonts w:cstheme="minorHAnsi"/>
          <w:sz w:val="24"/>
          <w:szCs w:val="24"/>
        </w:rPr>
        <w:t xml:space="preserve">(zakupy niezaliczane do kategorii środków trwałych, zgodnie z </w:t>
      </w:r>
      <w:r w:rsidR="00721795">
        <w:rPr>
          <w:rFonts w:cstheme="minorHAnsi"/>
          <w:sz w:val="24"/>
          <w:szCs w:val="24"/>
        </w:rPr>
        <w:t xml:space="preserve">ustawą o </w:t>
      </w:r>
      <w:r w:rsidR="00306162" w:rsidRPr="007468C4">
        <w:rPr>
          <w:rFonts w:cstheme="minorHAnsi"/>
          <w:sz w:val="24"/>
          <w:szCs w:val="24"/>
        </w:rPr>
        <w:t>rachunkowości);</w:t>
      </w:r>
    </w:p>
    <w:p w14:paraId="22A0583F" w14:textId="77777777" w:rsidR="00A226EC" w:rsidRPr="007468C4" w:rsidRDefault="00C239FA" w:rsidP="001B5BE9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ind w:left="1281" w:hanging="357"/>
        <w:rPr>
          <w:rFonts w:cstheme="minorHAnsi"/>
          <w:sz w:val="24"/>
          <w:szCs w:val="24"/>
        </w:rPr>
      </w:pPr>
      <w:r w:rsidRPr="007468C4">
        <w:rPr>
          <w:rFonts w:cstheme="minorHAnsi"/>
          <w:sz w:val="24"/>
          <w:szCs w:val="24"/>
        </w:rPr>
        <w:t>eksploata</w:t>
      </w:r>
      <w:r w:rsidR="00A226EC" w:rsidRPr="007468C4">
        <w:rPr>
          <w:rFonts w:cstheme="minorHAnsi"/>
          <w:sz w:val="24"/>
          <w:szCs w:val="24"/>
        </w:rPr>
        <w:t>cji aparatury naukowo-badawczej</w:t>
      </w:r>
      <w:r w:rsidR="00306162" w:rsidRPr="007468C4">
        <w:rPr>
          <w:rFonts w:cstheme="minorHAnsi"/>
          <w:sz w:val="24"/>
          <w:szCs w:val="24"/>
        </w:rPr>
        <w:t>;</w:t>
      </w:r>
    </w:p>
    <w:p w14:paraId="7C6635D6" w14:textId="0EBD96CE" w:rsidR="00A226EC" w:rsidRPr="005F13EA" w:rsidRDefault="00B874EE" w:rsidP="00F74F91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ind w:left="1281" w:hanging="357"/>
        <w:rPr>
          <w:rFonts w:cstheme="minorHAnsi"/>
          <w:sz w:val="24"/>
          <w:szCs w:val="24"/>
        </w:rPr>
      </w:pPr>
      <w:r w:rsidRPr="005F13EA">
        <w:rPr>
          <w:rFonts w:cstheme="minorHAnsi"/>
          <w:sz w:val="24"/>
          <w:szCs w:val="24"/>
        </w:rPr>
        <w:t>koszty elementów służących do budowy i na stałe zainstalowane w prototypie, instalacji pilotażowej lub demonstra</w:t>
      </w:r>
      <w:r w:rsidR="00A226EC" w:rsidRPr="005F13EA">
        <w:rPr>
          <w:rFonts w:cstheme="minorHAnsi"/>
          <w:sz w:val="24"/>
          <w:szCs w:val="24"/>
        </w:rPr>
        <w:t>cyjnej</w:t>
      </w:r>
      <w:r w:rsidR="00F74F91" w:rsidRPr="005F13EA">
        <w:rPr>
          <w:rFonts w:cstheme="minorHAnsi"/>
          <w:sz w:val="24"/>
          <w:szCs w:val="24"/>
        </w:rPr>
        <w:t xml:space="preserve">. W kategorii tej mogą być kwalifikowane wyłącznie koszty zakupu materiałów, środków eksploatacyjnych i podobnych produktów, które nie spełniają definicji środków trwałych (niezależnie od wewnętrznej polityki rachunkowości wnioskodawcy). W tej kategorii kosztów nie mieszczą się </w:t>
      </w:r>
      <w:r w:rsidR="00A62C67" w:rsidRPr="005F13EA">
        <w:rPr>
          <w:rFonts w:cstheme="minorHAnsi"/>
          <w:sz w:val="24"/>
          <w:szCs w:val="24"/>
        </w:rPr>
        <w:t xml:space="preserve">również </w:t>
      </w:r>
      <w:r w:rsidR="00F74F91" w:rsidRPr="005F13EA">
        <w:rPr>
          <w:rFonts w:cstheme="minorHAnsi"/>
          <w:sz w:val="24"/>
          <w:szCs w:val="24"/>
        </w:rPr>
        <w:t>wydatki na zakup sprzętu, maszyn i urządzeń, nawet jeśli ten sprzęt, maszyny lub urządzenia będą na stałe zainstalowane jako elementy w prototypie, linii (instalacji) pilotażowej lub demonstracyjnej</w:t>
      </w:r>
      <w:r w:rsidR="005F13EA">
        <w:rPr>
          <w:rFonts w:cstheme="minorHAnsi"/>
          <w:sz w:val="24"/>
          <w:szCs w:val="24"/>
        </w:rPr>
        <w:t>;</w:t>
      </w:r>
    </w:p>
    <w:p w14:paraId="782C417C" w14:textId="4F38BE28" w:rsidR="00A226EC" w:rsidRPr="007468C4" w:rsidRDefault="00B874EE" w:rsidP="001B5BE9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ind w:left="1281" w:hanging="357"/>
        <w:rPr>
          <w:rFonts w:cstheme="minorHAnsi"/>
          <w:sz w:val="24"/>
          <w:szCs w:val="24"/>
        </w:rPr>
      </w:pPr>
      <w:r w:rsidRPr="007468C4">
        <w:rPr>
          <w:rFonts w:cstheme="minorHAnsi"/>
          <w:sz w:val="24"/>
          <w:szCs w:val="24"/>
        </w:rPr>
        <w:t>wyn</w:t>
      </w:r>
      <w:r w:rsidR="00651FB0" w:rsidRPr="007468C4">
        <w:rPr>
          <w:rFonts w:cstheme="minorHAnsi"/>
          <w:sz w:val="24"/>
          <w:szCs w:val="24"/>
        </w:rPr>
        <w:t>ajem powierzchni laboratoryjnej,</w:t>
      </w:r>
      <w:r w:rsidR="00C239FA" w:rsidRPr="007468C4">
        <w:rPr>
          <w:rFonts w:cstheme="minorHAnsi"/>
          <w:sz w:val="24"/>
          <w:szCs w:val="24"/>
        </w:rPr>
        <w:t xml:space="preserve"> </w:t>
      </w:r>
      <w:r w:rsidR="00F30E90">
        <w:rPr>
          <w:rFonts w:cstheme="minorHAnsi"/>
          <w:sz w:val="24"/>
          <w:szCs w:val="24"/>
        </w:rPr>
        <w:t xml:space="preserve">w zakresie i przez okres w jakim jest ona wykorzystywana do </w:t>
      </w:r>
      <w:r w:rsidR="00C239FA" w:rsidRPr="007468C4">
        <w:rPr>
          <w:rFonts w:cstheme="minorHAnsi"/>
          <w:sz w:val="24"/>
          <w:szCs w:val="24"/>
        </w:rPr>
        <w:t xml:space="preserve">prac B+R </w:t>
      </w:r>
      <w:r w:rsidR="00F30E90">
        <w:rPr>
          <w:rFonts w:cstheme="minorHAnsi"/>
          <w:sz w:val="24"/>
          <w:szCs w:val="24"/>
        </w:rPr>
        <w:t xml:space="preserve">w ramach </w:t>
      </w:r>
      <w:r w:rsidR="00C239FA" w:rsidRPr="007468C4">
        <w:rPr>
          <w:rFonts w:cstheme="minorHAnsi"/>
          <w:sz w:val="24"/>
          <w:szCs w:val="24"/>
        </w:rPr>
        <w:t>projektu (oznacza</w:t>
      </w:r>
      <w:r w:rsidR="00A226EC" w:rsidRPr="007468C4">
        <w:rPr>
          <w:rFonts w:cstheme="minorHAnsi"/>
          <w:sz w:val="24"/>
          <w:szCs w:val="24"/>
        </w:rPr>
        <w:t xml:space="preserve"> </w:t>
      </w:r>
      <w:r w:rsidR="00F30E90">
        <w:rPr>
          <w:rFonts w:cstheme="minorHAnsi"/>
          <w:sz w:val="24"/>
          <w:szCs w:val="24"/>
        </w:rPr>
        <w:t xml:space="preserve">to koszt </w:t>
      </w:r>
      <w:r w:rsidR="00C239FA" w:rsidRPr="007468C4">
        <w:rPr>
          <w:rFonts w:cstheme="minorHAnsi"/>
          <w:sz w:val="24"/>
          <w:szCs w:val="24"/>
        </w:rPr>
        <w:t>wynajęci</w:t>
      </w:r>
      <w:r w:rsidR="00F30E90">
        <w:rPr>
          <w:rFonts w:cstheme="minorHAnsi"/>
          <w:sz w:val="24"/>
          <w:szCs w:val="24"/>
        </w:rPr>
        <w:t>a</w:t>
      </w:r>
      <w:r w:rsidR="00C239FA" w:rsidRPr="007468C4">
        <w:rPr>
          <w:rFonts w:cstheme="minorHAnsi"/>
          <w:sz w:val="24"/>
          <w:szCs w:val="24"/>
        </w:rPr>
        <w:t xml:space="preserve"> przez Wnioskodawcę laboratorium do prowadzenia</w:t>
      </w:r>
      <w:r w:rsidR="00A226EC" w:rsidRPr="007468C4">
        <w:rPr>
          <w:rFonts w:cstheme="minorHAnsi"/>
          <w:sz w:val="24"/>
          <w:szCs w:val="24"/>
        </w:rPr>
        <w:t xml:space="preserve"> </w:t>
      </w:r>
      <w:r w:rsidR="00C239FA" w:rsidRPr="007468C4">
        <w:rPr>
          <w:rFonts w:cstheme="minorHAnsi"/>
          <w:sz w:val="24"/>
          <w:szCs w:val="24"/>
        </w:rPr>
        <w:t>w nim badań przez personel Wnioskodawcy). Powierzchnia laboratoryjna finansowana</w:t>
      </w:r>
      <w:r w:rsidR="00A226EC" w:rsidRPr="007468C4">
        <w:rPr>
          <w:rFonts w:cstheme="minorHAnsi"/>
          <w:sz w:val="24"/>
          <w:szCs w:val="24"/>
        </w:rPr>
        <w:t xml:space="preserve"> </w:t>
      </w:r>
      <w:r w:rsidR="00C239FA" w:rsidRPr="007468C4">
        <w:rPr>
          <w:rFonts w:cstheme="minorHAnsi"/>
          <w:sz w:val="24"/>
          <w:szCs w:val="24"/>
        </w:rPr>
        <w:t>w ramac</w:t>
      </w:r>
      <w:r w:rsidR="00524015" w:rsidRPr="007468C4">
        <w:rPr>
          <w:rFonts w:cstheme="minorHAnsi"/>
          <w:sz w:val="24"/>
          <w:szCs w:val="24"/>
        </w:rPr>
        <w:t xml:space="preserve">h tej kategorii to powierzchnia </w:t>
      </w:r>
      <w:r w:rsidR="00C239FA" w:rsidRPr="007468C4">
        <w:rPr>
          <w:rFonts w:cstheme="minorHAnsi"/>
          <w:sz w:val="24"/>
          <w:szCs w:val="24"/>
        </w:rPr>
        <w:t>przystosowana do przeprowadzania badań, np.</w:t>
      </w:r>
      <w:r w:rsidR="00A226EC" w:rsidRPr="007468C4">
        <w:rPr>
          <w:rFonts w:cstheme="minorHAnsi"/>
          <w:sz w:val="24"/>
          <w:szCs w:val="24"/>
        </w:rPr>
        <w:t xml:space="preserve"> </w:t>
      </w:r>
      <w:r w:rsidR="00C239FA" w:rsidRPr="007468C4">
        <w:rPr>
          <w:rFonts w:cstheme="minorHAnsi"/>
          <w:sz w:val="24"/>
          <w:szCs w:val="24"/>
        </w:rPr>
        <w:t>ze względu na wymagane certyfikaty lub zastosowane systemy zabezpieczeń, bez</w:t>
      </w:r>
      <w:r w:rsidR="00A226EC" w:rsidRPr="007468C4">
        <w:rPr>
          <w:rFonts w:cstheme="minorHAnsi"/>
          <w:sz w:val="24"/>
          <w:szCs w:val="24"/>
        </w:rPr>
        <w:t xml:space="preserve"> </w:t>
      </w:r>
      <w:r w:rsidR="00C239FA" w:rsidRPr="007468C4">
        <w:rPr>
          <w:rFonts w:cstheme="minorHAnsi"/>
          <w:sz w:val="24"/>
          <w:szCs w:val="24"/>
        </w:rPr>
        <w:t>aparatury badawcz</w:t>
      </w:r>
      <w:r w:rsidR="00A226EC" w:rsidRPr="007468C4">
        <w:rPr>
          <w:rFonts w:cstheme="minorHAnsi"/>
          <w:sz w:val="24"/>
          <w:szCs w:val="24"/>
        </w:rPr>
        <w:t>ej</w:t>
      </w:r>
      <w:r w:rsidR="00524015" w:rsidRPr="007468C4">
        <w:rPr>
          <w:rFonts w:cstheme="minorHAnsi"/>
          <w:sz w:val="24"/>
          <w:szCs w:val="24"/>
        </w:rPr>
        <w:t>;</w:t>
      </w:r>
    </w:p>
    <w:p w14:paraId="54D91DDE" w14:textId="1A772A6A" w:rsidR="00A226EC" w:rsidRDefault="00A226EC" w:rsidP="001B5BE9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ind w:left="1281" w:hanging="357"/>
        <w:rPr>
          <w:rFonts w:cstheme="minorHAnsi"/>
          <w:sz w:val="24"/>
          <w:szCs w:val="24"/>
        </w:rPr>
      </w:pPr>
      <w:r w:rsidRPr="007468C4">
        <w:rPr>
          <w:rFonts w:cstheme="minorHAnsi"/>
          <w:sz w:val="24"/>
          <w:szCs w:val="24"/>
        </w:rPr>
        <w:t xml:space="preserve">wynajmu/leasingu aparatury naukowo-badawczej </w:t>
      </w:r>
      <w:r w:rsidR="009C4CB2" w:rsidRPr="007468C4">
        <w:rPr>
          <w:rFonts w:cstheme="minorHAnsi"/>
          <w:sz w:val="24"/>
          <w:szCs w:val="24"/>
        </w:rPr>
        <w:t>wykorzystywan</w:t>
      </w:r>
      <w:r w:rsidR="009C4CB2">
        <w:rPr>
          <w:rFonts w:cstheme="minorHAnsi"/>
          <w:sz w:val="24"/>
          <w:szCs w:val="24"/>
        </w:rPr>
        <w:t xml:space="preserve">ej </w:t>
      </w:r>
      <w:r w:rsidRPr="007468C4">
        <w:rPr>
          <w:rFonts w:cstheme="minorHAnsi"/>
          <w:sz w:val="24"/>
          <w:szCs w:val="24"/>
        </w:rPr>
        <w:t xml:space="preserve">w celu prowadzenia badań przemysłowych i </w:t>
      </w:r>
      <w:r w:rsidR="00793BC6" w:rsidRPr="007468C4">
        <w:rPr>
          <w:rFonts w:cstheme="minorHAnsi"/>
          <w:sz w:val="24"/>
          <w:szCs w:val="24"/>
        </w:rPr>
        <w:t xml:space="preserve">eksperymentalnych </w:t>
      </w:r>
      <w:r w:rsidRPr="007468C4">
        <w:rPr>
          <w:rFonts w:cstheme="minorHAnsi"/>
          <w:sz w:val="24"/>
          <w:szCs w:val="24"/>
        </w:rPr>
        <w:t xml:space="preserve">prac rozwojowych albo tylko </w:t>
      </w:r>
      <w:r w:rsidR="00BB13E6" w:rsidRPr="007468C4">
        <w:rPr>
          <w:rFonts w:cstheme="minorHAnsi"/>
          <w:sz w:val="24"/>
          <w:szCs w:val="24"/>
        </w:rPr>
        <w:t xml:space="preserve">eksperymentalnych </w:t>
      </w:r>
      <w:r w:rsidRPr="007468C4">
        <w:rPr>
          <w:rFonts w:cstheme="minorHAnsi"/>
          <w:sz w:val="24"/>
          <w:szCs w:val="24"/>
        </w:rPr>
        <w:t>prac rozwojowych wyłącznie w zakresie i przez okres, w jakim są one wykorzystywane na potrzeby realizowanego projektu</w:t>
      </w:r>
      <w:r w:rsidR="00BB13E6" w:rsidRPr="007468C4">
        <w:rPr>
          <w:rFonts w:cstheme="minorHAnsi"/>
          <w:sz w:val="24"/>
          <w:szCs w:val="24"/>
        </w:rPr>
        <w:t>;</w:t>
      </w:r>
    </w:p>
    <w:p w14:paraId="1EFB04E3" w14:textId="4E5DB71D" w:rsidR="00F30E90" w:rsidRPr="007468C4" w:rsidRDefault="00F30E90" w:rsidP="001B5BE9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ind w:left="1281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koszty subskrypcji oprogramowania komputerowego, w zakresie i przez okres, w jakim jest ono wykorzystywane do prac B+R;</w:t>
      </w:r>
    </w:p>
    <w:p w14:paraId="285BB62D" w14:textId="77777777" w:rsidR="00A226EC" w:rsidRPr="007468C4" w:rsidRDefault="00A226EC" w:rsidP="001B5BE9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ind w:left="1281" w:hanging="357"/>
        <w:rPr>
          <w:rFonts w:cstheme="minorHAnsi"/>
          <w:sz w:val="24"/>
          <w:szCs w:val="24"/>
        </w:rPr>
      </w:pPr>
      <w:r w:rsidRPr="007468C4">
        <w:rPr>
          <w:rFonts w:cstheme="minorHAnsi"/>
          <w:sz w:val="24"/>
          <w:szCs w:val="24"/>
        </w:rPr>
        <w:t>usług transportowych niezbędnych do prawidłowej realizacji prac badawczych</w:t>
      </w:r>
      <w:r w:rsidR="00BB13E6" w:rsidRPr="007468C4">
        <w:rPr>
          <w:rFonts w:cstheme="minorHAnsi"/>
          <w:sz w:val="24"/>
          <w:szCs w:val="24"/>
        </w:rPr>
        <w:t>;</w:t>
      </w:r>
      <w:r w:rsidRPr="007468C4">
        <w:rPr>
          <w:rFonts w:cstheme="minorHAnsi"/>
          <w:sz w:val="24"/>
          <w:szCs w:val="24"/>
        </w:rPr>
        <w:t xml:space="preserve"> </w:t>
      </w:r>
    </w:p>
    <w:p w14:paraId="61689EBB" w14:textId="66553D61" w:rsidR="00A226EC" w:rsidRPr="007468C4" w:rsidRDefault="00C239FA" w:rsidP="00CB6E5B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7468C4">
        <w:rPr>
          <w:rFonts w:cstheme="minorHAnsi"/>
          <w:sz w:val="24"/>
          <w:szCs w:val="24"/>
        </w:rPr>
        <w:t>opłat związany</w:t>
      </w:r>
      <w:r w:rsidR="00A226EC" w:rsidRPr="007468C4">
        <w:rPr>
          <w:rFonts w:cstheme="minorHAnsi"/>
          <w:sz w:val="24"/>
          <w:szCs w:val="24"/>
        </w:rPr>
        <w:t>ch z dopuszczeniem do badań</w:t>
      </w:r>
      <w:r w:rsidR="004A1450">
        <w:rPr>
          <w:rFonts w:cstheme="minorHAnsi"/>
          <w:sz w:val="24"/>
          <w:szCs w:val="24"/>
        </w:rPr>
        <w:t>.</w:t>
      </w:r>
    </w:p>
    <w:p w14:paraId="294590C9" w14:textId="4BF0FCF3" w:rsidR="00B00537" w:rsidRPr="00CB6E5B" w:rsidRDefault="00B00537" w:rsidP="00CB6E5B">
      <w:pPr>
        <w:spacing w:after="120" w:line="276" w:lineRule="auto"/>
        <w:rPr>
          <w:rFonts w:cstheme="minorHAnsi"/>
          <w:b/>
          <w:sz w:val="24"/>
          <w:szCs w:val="24"/>
        </w:rPr>
      </w:pPr>
      <w:r w:rsidRPr="00CB6E5B">
        <w:rPr>
          <w:rFonts w:cstheme="minorHAnsi"/>
          <w:sz w:val="24"/>
          <w:szCs w:val="24"/>
        </w:rPr>
        <w:t xml:space="preserve">Dodatkowe koszty ogólne i inne koszty operacyjne, w tym koszty materiałów, dostaw i </w:t>
      </w:r>
      <w:r w:rsidRPr="00083D66">
        <w:rPr>
          <w:rFonts w:cstheme="minorHAnsi"/>
          <w:sz w:val="24"/>
          <w:szCs w:val="24"/>
        </w:rPr>
        <w:t xml:space="preserve">podobnych produktów, ponoszone bezpośrednio w wyniku realizacji projektu </w:t>
      </w:r>
      <w:r w:rsidRPr="00083D66">
        <w:rPr>
          <w:rFonts w:cstheme="minorHAnsi"/>
          <w:b/>
          <w:sz w:val="24"/>
          <w:szCs w:val="24"/>
        </w:rPr>
        <w:t xml:space="preserve">nie mogą stanowić więcej niż 50% </w:t>
      </w:r>
      <w:r w:rsidR="00303873" w:rsidRPr="00083D66">
        <w:rPr>
          <w:rFonts w:cstheme="minorHAnsi"/>
          <w:b/>
          <w:sz w:val="24"/>
          <w:szCs w:val="24"/>
        </w:rPr>
        <w:t>kosztów kwalifikowalnych projektu.</w:t>
      </w:r>
    </w:p>
    <w:p w14:paraId="6CD03B12" w14:textId="77777777" w:rsidR="00A226EC" w:rsidRPr="000A4F11" w:rsidRDefault="00A226EC" w:rsidP="00A226EC">
      <w:pPr>
        <w:pStyle w:val="Akapitzlist"/>
        <w:tabs>
          <w:tab w:val="left" w:pos="5220"/>
        </w:tabs>
        <w:spacing w:line="360" w:lineRule="auto"/>
        <w:ind w:left="1287"/>
        <w:rPr>
          <w:rFonts w:ascii="Calibri" w:hAnsi="Calibri" w:cs="Calibri"/>
          <w:sz w:val="14"/>
          <w:szCs w:val="24"/>
          <w:highlight w:val="yellow"/>
        </w:rPr>
      </w:pPr>
    </w:p>
    <w:p w14:paraId="1E3E22AB" w14:textId="147F8DD2" w:rsidR="00980F03" w:rsidRDefault="00980F03" w:rsidP="00980F03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Koszty pośrednie</w:t>
      </w:r>
    </w:p>
    <w:p w14:paraId="1C996541" w14:textId="188CE4E6" w:rsidR="00EC6E89" w:rsidRPr="008E048D" w:rsidRDefault="00EC6E89" w:rsidP="008E048D">
      <w:pPr>
        <w:autoSpaceDE w:val="0"/>
        <w:autoSpaceDN w:val="0"/>
        <w:adjustRightInd w:val="0"/>
        <w:spacing w:after="120" w:line="276" w:lineRule="auto"/>
        <w:rPr>
          <w:rFonts w:cstheme="minorHAnsi"/>
          <w:bCs/>
          <w:sz w:val="24"/>
          <w:szCs w:val="24"/>
        </w:rPr>
      </w:pPr>
      <w:r w:rsidRPr="00E607EF">
        <w:rPr>
          <w:rFonts w:cstheme="minorHAnsi"/>
          <w:bCs/>
          <w:sz w:val="24"/>
        </w:rPr>
        <w:t xml:space="preserve">Koszty pośrednie modułu stanowią koszty niezbędne do realizacji </w:t>
      </w:r>
      <w:r>
        <w:rPr>
          <w:rFonts w:cstheme="minorHAnsi"/>
          <w:bCs/>
          <w:sz w:val="24"/>
        </w:rPr>
        <w:t>prac</w:t>
      </w:r>
      <w:r w:rsidRPr="00E607EF">
        <w:rPr>
          <w:rFonts w:cstheme="minorHAnsi"/>
          <w:bCs/>
          <w:sz w:val="24"/>
        </w:rPr>
        <w:t xml:space="preserve"> B+R, których nie można </w:t>
      </w:r>
      <w:r w:rsidRPr="008E048D">
        <w:rPr>
          <w:rFonts w:cstheme="minorHAnsi"/>
          <w:bCs/>
          <w:sz w:val="24"/>
          <w:szCs w:val="24"/>
        </w:rPr>
        <w:t>bezpośrednio przypisać do głównego celu projektu.</w:t>
      </w:r>
    </w:p>
    <w:p w14:paraId="238D276D" w14:textId="4D744881" w:rsidR="00E61EDD" w:rsidRPr="008E048D" w:rsidRDefault="00E61EDD" w:rsidP="008E048D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8E048D">
        <w:rPr>
          <w:rFonts w:cstheme="minorHAnsi"/>
          <w:sz w:val="24"/>
          <w:szCs w:val="24"/>
        </w:rPr>
        <w:t xml:space="preserve">Katalog kosztów pośrednich (ogólnych) został określony w podrozdziale 3.12 </w:t>
      </w:r>
      <w:hyperlink r:id="rId12" w:history="1">
        <w:r w:rsidR="005B017C" w:rsidRPr="008E048D">
          <w:rPr>
            <w:rStyle w:val="Hipercze"/>
            <w:rFonts w:cstheme="minorHAnsi"/>
            <w:sz w:val="24"/>
            <w:szCs w:val="24"/>
          </w:rPr>
          <w:t>Wytycznych dotyczących kwalifikowalności 2021-2027</w:t>
        </w:r>
      </w:hyperlink>
      <w:r w:rsidR="005B017C" w:rsidRPr="008E048D">
        <w:rPr>
          <w:sz w:val="24"/>
          <w:szCs w:val="24"/>
        </w:rPr>
        <w:t xml:space="preserve"> </w:t>
      </w:r>
      <w:r w:rsidRPr="008E048D">
        <w:rPr>
          <w:rFonts w:cstheme="minorHAnsi"/>
          <w:sz w:val="24"/>
          <w:szCs w:val="24"/>
        </w:rPr>
        <w:t xml:space="preserve">i obejmuje w szczególności: </w:t>
      </w:r>
    </w:p>
    <w:p w14:paraId="0C380159" w14:textId="4CFC1C67" w:rsidR="005B017C" w:rsidRPr="008E048D" w:rsidRDefault="00E61EDD" w:rsidP="008E048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8E048D">
        <w:rPr>
          <w:rFonts w:cstheme="minorHAnsi"/>
          <w:sz w:val="24"/>
          <w:szCs w:val="24"/>
        </w:rPr>
        <w:t xml:space="preserve">koszty koordynatora </w:t>
      </w:r>
      <w:r w:rsidR="005B017C" w:rsidRPr="008E048D">
        <w:rPr>
          <w:rFonts w:cstheme="minorHAnsi"/>
          <w:sz w:val="24"/>
          <w:szCs w:val="24"/>
        </w:rPr>
        <w:t xml:space="preserve">lub kierownika </w:t>
      </w:r>
      <w:r w:rsidRPr="008E048D">
        <w:rPr>
          <w:rFonts w:cstheme="minorHAnsi"/>
          <w:sz w:val="24"/>
          <w:szCs w:val="24"/>
        </w:rPr>
        <w:t>projektu oraz innego personelu zaangażowanego w zarządzanie, rozliczanie, monitorowanie projektu lub prowadzenie innych działań administracyjnych w projekcie</w:t>
      </w:r>
      <w:r w:rsidR="005B017C" w:rsidRPr="008E048D">
        <w:rPr>
          <w:rFonts w:cstheme="minorHAnsi"/>
          <w:sz w:val="24"/>
          <w:szCs w:val="24"/>
        </w:rPr>
        <w:t>;</w:t>
      </w:r>
    </w:p>
    <w:p w14:paraId="257EEA7F" w14:textId="177B8269" w:rsidR="005B017C" w:rsidRPr="008E048D" w:rsidRDefault="005B017C" w:rsidP="008E048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8E048D">
        <w:rPr>
          <w:rFonts w:cstheme="minorHAnsi"/>
          <w:sz w:val="24"/>
          <w:szCs w:val="24"/>
        </w:rPr>
        <w:t>koszty personelu obsługowego na potrzeby funkcjonowania jednostki;</w:t>
      </w:r>
    </w:p>
    <w:p w14:paraId="10F6C363" w14:textId="4CE56B20" w:rsidR="005B017C" w:rsidRPr="008E048D" w:rsidRDefault="005B017C" w:rsidP="008E048D">
      <w:pPr>
        <w:pStyle w:val="Default"/>
        <w:numPr>
          <w:ilvl w:val="0"/>
          <w:numId w:val="19"/>
        </w:numPr>
        <w:spacing w:after="120" w:line="276" w:lineRule="auto"/>
      </w:pPr>
      <w:r w:rsidRPr="008E048D">
        <w:t>koszty utrzymania powierzchni biurowych związanych z obsługą administracyjną projektu (czynsz, najem, opłaty administracyjne)</w:t>
      </w:r>
      <w:r w:rsidR="009772EF" w:rsidRPr="008E048D">
        <w:t>;</w:t>
      </w:r>
      <w:r w:rsidRPr="008E048D">
        <w:t xml:space="preserve"> </w:t>
      </w:r>
    </w:p>
    <w:p w14:paraId="65B257BF" w14:textId="54EE423A" w:rsidR="005B017C" w:rsidRPr="008E048D" w:rsidRDefault="005B017C" w:rsidP="008E048D">
      <w:pPr>
        <w:pStyle w:val="Default"/>
        <w:numPr>
          <w:ilvl w:val="0"/>
          <w:numId w:val="19"/>
        </w:numPr>
        <w:spacing w:after="120" w:line="276" w:lineRule="auto"/>
      </w:pPr>
      <w:r w:rsidRPr="008E048D">
        <w:t>opłaty za energię elektryczną, cieplną, gazową i wodę, opłaty przesyłowe, opłaty za odprowadzanie ścieków w zakresie związanym z obsługą administracyjną projektu</w:t>
      </w:r>
      <w:r w:rsidR="009772EF" w:rsidRPr="008E048D">
        <w:t>;</w:t>
      </w:r>
      <w:r w:rsidRPr="008E048D">
        <w:t xml:space="preserve"> </w:t>
      </w:r>
    </w:p>
    <w:p w14:paraId="05DD2FBA" w14:textId="3DCA2B5B" w:rsidR="005B017C" w:rsidRPr="008E048D" w:rsidRDefault="005B017C" w:rsidP="008E048D">
      <w:pPr>
        <w:pStyle w:val="Default"/>
        <w:numPr>
          <w:ilvl w:val="0"/>
          <w:numId w:val="19"/>
        </w:numPr>
        <w:spacing w:after="120" w:line="276" w:lineRule="auto"/>
      </w:pPr>
      <w:r w:rsidRPr="008E048D">
        <w:t>koszty usług pocztowych, telefonicznych, internetowych związanych z obsługą projektu</w:t>
      </w:r>
      <w:r w:rsidR="009772EF" w:rsidRPr="008E048D">
        <w:t>;</w:t>
      </w:r>
      <w:r w:rsidRPr="008E048D">
        <w:t xml:space="preserve"> </w:t>
      </w:r>
    </w:p>
    <w:p w14:paraId="117CB748" w14:textId="7DFD1185" w:rsidR="005B017C" w:rsidRPr="008E048D" w:rsidRDefault="005B017C" w:rsidP="008E048D">
      <w:pPr>
        <w:pStyle w:val="Default"/>
        <w:numPr>
          <w:ilvl w:val="0"/>
          <w:numId w:val="19"/>
        </w:numPr>
        <w:spacing w:after="120" w:line="276" w:lineRule="auto"/>
      </w:pPr>
      <w:r w:rsidRPr="008E048D">
        <w:t>koszty usług powielania dokumentów związanych z obsługą projektu</w:t>
      </w:r>
      <w:r w:rsidR="009772EF" w:rsidRPr="008E048D">
        <w:t>;</w:t>
      </w:r>
      <w:r w:rsidRPr="008E048D">
        <w:t xml:space="preserve"> </w:t>
      </w:r>
    </w:p>
    <w:p w14:paraId="78900E48" w14:textId="32DCDC08" w:rsidR="005B017C" w:rsidRPr="008E048D" w:rsidRDefault="005B017C" w:rsidP="008E048D">
      <w:pPr>
        <w:pStyle w:val="Default"/>
        <w:numPr>
          <w:ilvl w:val="0"/>
          <w:numId w:val="19"/>
        </w:numPr>
        <w:spacing w:after="120" w:line="276" w:lineRule="auto"/>
      </w:pPr>
      <w:r w:rsidRPr="008E048D">
        <w:t>koszty materiałów biurowych i artykułów piśmienniczych związanych z obsługą projektu</w:t>
      </w:r>
      <w:r w:rsidR="009772EF" w:rsidRPr="008E048D">
        <w:t>;</w:t>
      </w:r>
      <w:r w:rsidRPr="008E048D">
        <w:t xml:space="preserve"> </w:t>
      </w:r>
    </w:p>
    <w:p w14:paraId="4980EB26" w14:textId="5C568E32" w:rsidR="005B017C" w:rsidRPr="008E048D" w:rsidRDefault="005B017C" w:rsidP="008E048D">
      <w:pPr>
        <w:pStyle w:val="Default"/>
        <w:numPr>
          <w:ilvl w:val="0"/>
          <w:numId w:val="19"/>
        </w:numPr>
        <w:spacing w:after="120" w:line="276" w:lineRule="auto"/>
      </w:pPr>
      <w:r w:rsidRPr="008E048D">
        <w:t>koszty ochrony budynku</w:t>
      </w:r>
      <w:r w:rsidR="009772EF" w:rsidRPr="008E048D">
        <w:t>;</w:t>
      </w:r>
      <w:r w:rsidRPr="008E048D">
        <w:t xml:space="preserve"> </w:t>
      </w:r>
    </w:p>
    <w:p w14:paraId="71C9E88B" w14:textId="09989577" w:rsidR="005B017C" w:rsidRPr="008E048D" w:rsidRDefault="005B017C" w:rsidP="008E048D">
      <w:pPr>
        <w:pStyle w:val="Default"/>
        <w:numPr>
          <w:ilvl w:val="0"/>
          <w:numId w:val="19"/>
        </w:numPr>
        <w:spacing w:after="120" w:line="276" w:lineRule="auto"/>
      </w:pPr>
      <w:r w:rsidRPr="008E048D">
        <w:t>koszty sprzątania pomieszczeń związanych z obsługą projektu</w:t>
      </w:r>
      <w:r w:rsidR="009772EF" w:rsidRPr="008E048D">
        <w:t>;</w:t>
      </w:r>
      <w:r w:rsidRPr="008E048D">
        <w:t xml:space="preserve"> </w:t>
      </w:r>
    </w:p>
    <w:p w14:paraId="6E000B96" w14:textId="58C6D9E9" w:rsidR="005B017C" w:rsidRPr="008E048D" w:rsidRDefault="005B017C" w:rsidP="008E048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8E048D">
        <w:rPr>
          <w:rFonts w:cstheme="minorHAnsi"/>
          <w:sz w:val="24"/>
          <w:szCs w:val="24"/>
        </w:rPr>
        <w:t>koszty informacji i promocji.</w:t>
      </w:r>
    </w:p>
    <w:p w14:paraId="7BA970ED" w14:textId="2621F3E4" w:rsidR="008F619A" w:rsidRPr="00E607EF" w:rsidRDefault="004125FF" w:rsidP="008F619A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4125FF">
        <w:rPr>
          <w:rFonts w:cstheme="minorHAnsi"/>
          <w:sz w:val="24"/>
          <w:szCs w:val="24"/>
        </w:rPr>
        <w:t>Koszty pośrednie w ramach przedmiotowego postępowania konkurencyjnego są rozliczane metodą ryczałtową za pomocą stawki ryczałtowej w wysokości 7% bezpośrednich kosztów kwalifikowanych z wyjątkiem kosztów usług zewnętrznych (podwykonawstwa). Podstawa wyliczenia: (koszty bezpośrednie-koszty podwykonawstwa) x 7%.</w:t>
      </w:r>
      <w:r w:rsidR="008574F3">
        <w:rPr>
          <w:rFonts w:cstheme="minorHAnsi"/>
          <w:sz w:val="24"/>
          <w:szCs w:val="24"/>
        </w:rPr>
        <w:t xml:space="preserve"> </w:t>
      </w:r>
      <w:r w:rsidR="008574F3" w:rsidRPr="008574F3">
        <w:rPr>
          <w:rFonts w:cstheme="minorHAnsi"/>
          <w:sz w:val="24"/>
          <w:szCs w:val="24"/>
        </w:rPr>
        <w:t>[art. 54(a) CPR]</w:t>
      </w:r>
      <w:r w:rsidR="00DE2652" w:rsidRPr="008E048D">
        <w:rPr>
          <w:rFonts w:cstheme="minorHAnsi"/>
          <w:sz w:val="24"/>
          <w:szCs w:val="24"/>
        </w:rPr>
        <w:t>.</w:t>
      </w:r>
    </w:p>
    <w:p w14:paraId="6E574209" w14:textId="77777777" w:rsidR="007B0EB0" w:rsidRPr="000A4F11" w:rsidRDefault="007B0EB0" w:rsidP="00217C77">
      <w:pPr>
        <w:autoSpaceDE w:val="0"/>
        <w:autoSpaceDN w:val="0"/>
        <w:adjustRightInd w:val="0"/>
        <w:spacing w:after="120" w:line="276" w:lineRule="auto"/>
        <w:rPr>
          <w:rFonts w:cstheme="minorHAnsi"/>
          <w:sz w:val="14"/>
          <w:szCs w:val="24"/>
        </w:rPr>
      </w:pPr>
    </w:p>
    <w:p w14:paraId="248D4BD5" w14:textId="77777777" w:rsidR="00EE7660" w:rsidRPr="003A62EC" w:rsidRDefault="007B0EB0" w:rsidP="00E607EF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E607EF">
        <w:rPr>
          <w:rFonts w:cstheme="minorHAnsi"/>
          <w:b/>
          <w:sz w:val="28"/>
          <w:szCs w:val="24"/>
        </w:rPr>
        <w:t>Podnoszenie kompetencji pracowników MŚP</w:t>
      </w:r>
      <w:r w:rsidRPr="003A62EC">
        <w:rPr>
          <w:rFonts w:cstheme="minorHAnsi"/>
          <w:sz w:val="24"/>
          <w:szCs w:val="24"/>
        </w:rPr>
        <w:t xml:space="preserve"> </w:t>
      </w:r>
    </w:p>
    <w:p w14:paraId="5BA2E7E5" w14:textId="6160DC43" w:rsidR="00EE7660" w:rsidRPr="00CE16AE" w:rsidRDefault="00EE7660" w:rsidP="00D31CA4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CE16AE">
        <w:rPr>
          <w:rFonts w:cstheme="minorHAnsi"/>
          <w:sz w:val="24"/>
          <w:szCs w:val="24"/>
        </w:rPr>
        <w:t xml:space="preserve">Wydatki </w:t>
      </w:r>
      <w:r w:rsidRPr="00852F85">
        <w:rPr>
          <w:rFonts w:cstheme="minorHAnsi"/>
          <w:sz w:val="24"/>
          <w:szCs w:val="24"/>
        </w:rPr>
        <w:t xml:space="preserve">związane z podnoszeniem kompetencji pracowników MŚP mogą stanowić </w:t>
      </w:r>
      <w:r w:rsidR="007B0EB0" w:rsidRPr="00852F85">
        <w:rPr>
          <w:rFonts w:cstheme="minorHAnsi"/>
          <w:sz w:val="24"/>
          <w:szCs w:val="24"/>
        </w:rPr>
        <w:t xml:space="preserve">uzupełnienie </w:t>
      </w:r>
      <w:r w:rsidRPr="00852F85">
        <w:rPr>
          <w:rFonts w:cstheme="minorHAnsi"/>
          <w:sz w:val="24"/>
          <w:szCs w:val="24"/>
        </w:rPr>
        <w:t>projektu. Mogą one</w:t>
      </w:r>
      <w:r w:rsidR="007B0EB0" w:rsidRPr="00852F85">
        <w:rPr>
          <w:rFonts w:cstheme="minorHAnsi"/>
          <w:sz w:val="24"/>
          <w:szCs w:val="24"/>
        </w:rPr>
        <w:t xml:space="preserve"> zostać sfinansowane w ramach wydatków w części projektu objętej cross</w:t>
      </w:r>
      <w:r w:rsidR="007B0EB0" w:rsidRPr="00CE16AE">
        <w:rPr>
          <w:rFonts w:cstheme="minorHAnsi"/>
          <w:sz w:val="24"/>
          <w:szCs w:val="24"/>
        </w:rPr>
        <w:t>-</w:t>
      </w:r>
      <w:proofErr w:type="spellStart"/>
      <w:r w:rsidR="007B0EB0" w:rsidRPr="00CE16AE">
        <w:rPr>
          <w:rFonts w:cstheme="minorHAnsi"/>
          <w:sz w:val="24"/>
          <w:szCs w:val="24"/>
        </w:rPr>
        <w:t>financingiem</w:t>
      </w:r>
      <w:proofErr w:type="spellEnd"/>
      <w:r w:rsidR="007B0EB0" w:rsidRPr="00CE16AE">
        <w:rPr>
          <w:rFonts w:cstheme="minorHAnsi"/>
          <w:sz w:val="24"/>
          <w:szCs w:val="24"/>
        </w:rPr>
        <w:t>.</w:t>
      </w:r>
    </w:p>
    <w:p w14:paraId="13A71AE7" w14:textId="77777777" w:rsidR="00EE7660" w:rsidRPr="00CE16AE" w:rsidRDefault="007B0EB0" w:rsidP="00D31CA4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CE16AE">
        <w:rPr>
          <w:rFonts w:cstheme="minorHAnsi"/>
          <w:sz w:val="24"/>
          <w:szCs w:val="24"/>
        </w:rPr>
        <w:t>Dopuszczalny maksymalny poziom cross-</w:t>
      </w:r>
      <w:proofErr w:type="spellStart"/>
      <w:r w:rsidRPr="00CE16AE">
        <w:rPr>
          <w:rFonts w:cstheme="minorHAnsi"/>
          <w:sz w:val="24"/>
          <w:szCs w:val="24"/>
        </w:rPr>
        <w:t>financingu</w:t>
      </w:r>
      <w:proofErr w:type="spellEnd"/>
      <w:r w:rsidRPr="00CE16AE">
        <w:rPr>
          <w:rFonts w:cstheme="minorHAnsi"/>
          <w:sz w:val="24"/>
          <w:szCs w:val="24"/>
        </w:rPr>
        <w:t xml:space="preserve"> może stanowić </w:t>
      </w:r>
      <w:r w:rsidRPr="00CE16AE">
        <w:rPr>
          <w:rFonts w:cstheme="minorHAnsi"/>
          <w:b/>
          <w:sz w:val="24"/>
          <w:szCs w:val="24"/>
        </w:rPr>
        <w:t>maksymalnie 15% kosztów kwalifikowalnych</w:t>
      </w:r>
      <w:r w:rsidRPr="00CE16AE">
        <w:rPr>
          <w:rFonts w:cstheme="minorHAnsi"/>
          <w:sz w:val="24"/>
          <w:szCs w:val="24"/>
        </w:rPr>
        <w:t xml:space="preserve"> projektu.</w:t>
      </w:r>
    </w:p>
    <w:p w14:paraId="0CBFDA2D" w14:textId="3828B835" w:rsidR="00CE16AE" w:rsidRDefault="007B0EB0" w:rsidP="00D31CA4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CE16AE">
        <w:rPr>
          <w:rFonts w:cstheme="minorHAnsi"/>
          <w:sz w:val="24"/>
          <w:szCs w:val="24"/>
        </w:rPr>
        <w:t>Pomoc udzielana jest w ramach Rozporządzenia</w:t>
      </w:r>
      <w:r w:rsidR="00293A74" w:rsidRPr="00CE16AE">
        <w:rPr>
          <w:rFonts w:cstheme="minorHAnsi"/>
          <w:sz w:val="24"/>
          <w:szCs w:val="24"/>
        </w:rPr>
        <w:t xml:space="preserve"> Ministra</w:t>
      </w:r>
      <w:r w:rsidRPr="00CE16AE">
        <w:rPr>
          <w:rFonts w:cstheme="minorHAnsi"/>
          <w:sz w:val="24"/>
          <w:szCs w:val="24"/>
        </w:rPr>
        <w:t xml:space="preserve"> Funduszy i Polityki </w:t>
      </w:r>
      <w:r w:rsidR="00293A74" w:rsidRPr="00CE16AE">
        <w:rPr>
          <w:rFonts w:cstheme="minorHAnsi"/>
          <w:sz w:val="24"/>
          <w:szCs w:val="24"/>
        </w:rPr>
        <w:t xml:space="preserve">Regionalnej z dnia </w:t>
      </w:r>
      <w:r w:rsidR="00993380">
        <w:rPr>
          <w:rFonts w:cstheme="minorHAnsi"/>
          <w:sz w:val="24"/>
          <w:szCs w:val="24"/>
        </w:rPr>
        <w:t>17</w:t>
      </w:r>
      <w:r w:rsidR="00993380" w:rsidRPr="00CE16AE">
        <w:rPr>
          <w:rFonts w:cstheme="minorHAnsi"/>
          <w:sz w:val="24"/>
          <w:szCs w:val="24"/>
        </w:rPr>
        <w:t xml:space="preserve"> </w:t>
      </w:r>
      <w:r w:rsidR="00993380">
        <w:rPr>
          <w:rFonts w:cstheme="minorHAnsi"/>
          <w:sz w:val="24"/>
          <w:szCs w:val="24"/>
        </w:rPr>
        <w:t>kwietn</w:t>
      </w:r>
      <w:r w:rsidR="00993380" w:rsidRPr="00CE16AE">
        <w:rPr>
          <w:rFonts w:cstheme="minorHAnsi"/>
          <w:sz w:val="24"/>
          <w:szCs w:val="24"/>
        </w:rPr>
        <w:t>ia 202</w:t>
      </w:r>
      <w:r w:rsidR="00993380">
        <w:rPr>
          <w:rFonts w:cstheme="minorHAnsi"/>
          <w:sz w:val="24"/>
          <w:szCs w:val="24"/>
        </w:rPr>
        <w:t>4</w:t>
      </w:r>
      <w:r w:rsidR="00993380" w:rsidRPr="00CE16AE">
        <w:rPr>
          <w:rFonts w:cstheme="minorHAnsi"/>
          <w:sz w:val="24"/>
          <w:szCs w:val="24"/>
        </w:rPr>
        <w:t xml:space="preserve"> </w:t>
      </w:r>
      <w:r w:rsidR="00293A74" w:rsidRPr="00CE16AE">
        <w:rPr>
          <w:rFonts w:cstheme="minorHAnsi"/>
          <w:sz w:val="24"/>
          <w:szCs w:val="24"/>
        </w:rPr>
        <w:t>r. w sprawie udzielania</w:t>
      </w:r>
      <w:r w:rsidRPr="00CE16AE">
        <w:rPr>
          <w:rFonts w:cstheme="minorHAnsi"/>
          <w:sz w:val="24"/>
          <w:szCs w:val="24"/>
        </w:rPr>
        <w:t xml:space="preserve"> pomocy de minimis w </w:t>
      </w:r>
      <w:r w:rsidR="00293A74" w:rsidRPr="00CE16AE">
        <w:rPr>
          <w:rFonts w:cstheme="minorHAnsi"/>
          <w:sz w:val="24"/>
          <w:szCs w:val="24"/>
        </w:rPr>
        <w:t>ramach regionalnych programów na lata 2021–2027 (Dz. U.</w:t>
      </w:r>
      <w:r w:rsidRPr="00CE16AE">
        <w:rPr>
          <w:rFonts w:cstheme="minorHAnsi"/>
          <w:sz w:val="24"/>
          <w:szCs w:val="24"/>
        </w:rPr>
        <w:t xml:space="preserve"> </w:t>
      </w:r>
      <w:r w:rsidR="00293A74" w:rsidRPr="00CE16AE">
        <w:rPr>
          <w:rFonts w:cstheme="minorHAnsi"/>
          <w:sz w:val="24"/>
          <w:szCs w:val="24"/>
        </w:rPr>
        <w:t xml:space="preserve">z </w:t>
      </w:r>
      <w:r w:rsidR="00993380" w:rsidRPr="00CE16AE">
        <w:rPr>
          <w:rFonts w:cstheme="minorHAnsi"/>
          <w:sz w:val="24"/>
          <w:szCs w:val="24"/>
        </w:rPr>
        <w:t>202</w:t>
      </w:r>
      <w:r w:rsidR="00993380">
        <w:rPr>
          <w:rFonts w:cstheme="minorHAnsi"/>
          <w:sz w:val="24"/>
          <w:szCs w:val="24"/>
        </w:rPr>
        <w:t>4</w:t>
      </w:r>
      <w:r w:rsidR="00993380" w:rsidRPr="00CE16AE">
        <w:rPr>
          <w:rFonts w:cstheme="minorHAnsi"/>
          <w:sz w:val="24"/>
          <w:szCs w:val="24"/>
        </w:rPr>
        <w:t xml:space="preserve"> </w:t>
      </w:r>
      <w:r w:rsidR="00293A74" w:rsidRPr="00CE16AE">
        <w:rPr>
          <w:rFonts w:cstheme="minorHAnsi"/>
          <w:sz w:val="24"/>
          <w:szCs w:val="24"/>
        </w:rPr>
        <w:t xml:space="preserve">r. poz. </w:t>
      </w:r>
      <w:r w:rsidR="00993380">
        <w:rPr>
          <w:rFonts w:cstheme="minorHAnsi"/>
          <w:sz w:val="24"/>
          <w:szCs w:val="24"/>
        </w:rPr>
        <w:t>598</w:t>
      </w:r>
      <w:r w:rsidR="00293A74" w:rsidRPr="00CE16AE">
        <w:rPr>
          <w:rFonts w:cstheme="minorHAnsi"/>
          <w:sz w:val="24"/>
          <w:szCs w:val="24"/>
        </w:rPr>
        <w:t>)</w:t>
      </w:r>
      <w:r w:rsidR="00B70495">
        <w:rPr>
          <w:rFonts w:cstheme="minorHAnsi"/>
          <w:sz w:val="24"/>
          <w:szCs w:val="24"/>
        </w:rPr>
        <w:t xml:space="preserve"> na podstawie rozporządzenia </w:t>
      </w:r>
      <w:r w:rsidR="00B70495" w:rsidRPr="00B70495">
        <w:rPr>
          <w:rFonts w:cstheme="minorHAnsi"/>
          <w:sz w:val="24"/>
          <w:szCs w:val="24"/>
        </w:rPr>
        <w:t>z dnia 13 grudnia 2023 r. w sprawie stosowania art. 107 i 108 Traktatu o funkcjonowaniu Unii Europejskiej do pomocy de minimis – które zastąpiło rozporządzenie Komisji (UE) nr 1407/2013 z dnia 18 grudnia 2013 r. w sprawie stosowania art. 107 i 108 Traktatu o funkcjonowaniu Unii Europejskiej do pomocy de minimis</w:t>
      </w:r>
      <w:r w:rsidR="00B70495">
        <w:rPr>
          <w:rFonts w:cstheme="minorHAnsi"/>
          <w:sz w:val="24"/>
          <w:szCs w:val="24"/>
        </w:rPr>
        <w:t>.</w:t>
      </w:r>
    </w:p>
    <w:p w14:paraId="3721A40D" w14:textId="14E963A3" w:rsidR="00CE16AE" w:rsidRDefault="00993380" w:rsidP="00D31CA4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993380">
        <w:rPr>
          <w:rFonts w:cstheme="minorHAnsi"/>
          <w:sz w:val="24"/>
          <w:szCs w:val="24"/>
        </w:rPr>
        <w:t>Zgodnie z art. 3 ust. 2 rozporządzenia 2023/2831, całkowita kwota pomocy de minimis przyznanej przez jedno państwo członkowskie jednemu przedsiębiorstwu nie może przekroczyć 300 000 EUR w okresie 3 lat</w:t>
      </w:r>
      <w:r>
        <w:rPr>
          <w:rFonts w:cstheme="minorHAnsi"/>
          <w:sz w:val="24"/>
          <w:szCs w:val="24"/>
        </w:rPr>
        <w:t xml:space="preserve">. </w:t>
      </w:r>
      <w:r w:rsidR="00605251" w:rsidRPr="00CE16AE">
        <w:rPr>
          <w:rFonts w:cstheme="minorHAnsi"/>
          <w:sz w:val="24"/>
          <w:szCs w:val="24"/>
        </w:rPr>
        <w:t>. Do celów ustalenia dopuszczalnego pułapu pomocy de minimis przez jednego przedsiębiorcę rozumie się</w:t>
      </w:r>
      <w:r w:rsidR="00CE16AE">
        <w:rPr>
          <w:rFonts w:cstheme="minorHAnsi"/>
          <w:sz w:val="24"/>
          <w:szCs w:val="24"/>
        </w:rPr>
        <w:t xml:space="preserve"> jedno </w:t>
      </w:r>
      <w:r w:rsidR="00605251" w:rsidRPr="00CE16AE">
        <w:rPr>
          <w:rFonts w:cstheme="minorHAnsi"/>
          <w:sz w:val="24"/>
          <w:szCs w:val="24"/>
        </w:rPr>
        <w:t>przedsiębiorstwo, o którym mowa w art. 2 u</w:t>
      </w:r>
      <w:r w:rsidR="00CE16AE">
        <w:rPr>
          <w:rFonts w:cstheme="minorHAnsi"/>
          <w:sz w:val="24"/>
          <w:szCs w:val="24"/>
        </w:rPr>
        <w:t xml:space="preserve">st. 2 Rozporządzenia </w:t>
      </w:r>
      <w:r w:rsidR="00487100" w:rsidRPr="00487100">
        <w:rPr>
          <w:rFonts w:cstheme="minorHAnsi"/>
          <w:sz w:val="24"/>
          <w:szCs w:val="24"/>
        </w:rPr>
        <w:t>2023/2831</w:t>
      </w:r>
      <w:r w:rsidR="00CE16AE">
        <w:rPr>
          <w:rFonts w:cstheme="minorHAnsi"/>
          <w:sz w:val="24"/>
          <w:szCs w:val="24"/>
        </w:rPr>
        <w:t xml:space="preserve">. </w:t>
      </w:r>
      <w:r w:rsidR="000303D6" w:rsidRPr="00CE16AE">
        <w:rPr>
          <w:rFonts w:cstheme="minorHAnsi"/>
          <w:sz w:val="24"/>
          <w:szCs w:val="24"/>
        </w:rPr>
        <w:t>Do przeliczenia na EUR wysokości udzielonego dofinansowania w ramach poszczególnych przeznaczeń pomocy w projekcie, stosowany jest kurs średni walut obcych – ogłaszany przez Narodowy Bank Polski.</w:t>
      </w:r>
    </w:p>
    <w:p w14:paraId="209F46F0" w14:textId="58A01CEF" w:rsidR="0018455C" w:rsidRDefault="0018455C" w:rsidP="00D31CA4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E607EF">
        <w:rPr>
          <w:rFonts w:cstheme="minorHAnsi"/>
          <w:b/>
          <w:bCs/>
          <w:sz w:val="24"/>
          <w:szCs w:val="24"/>
        </w:rPr>
        <w:t>Pomoc przeznaczona na podnoszenie kompetencji pracowników MŚP musi być ściśle powiązana z zakresem projektu</w:t>
      </w:r>
      <w:r w:rsidR="00487100">
        <w:rPr>
          <w:rFonts w:cstheme="minorHAnsi"/>
          <w:sz w:val="24"/>
          <w:szCs w:val="24"/>
        </w:rPr>
        <w:t>.</w:t>
      </w:r>
    </w:p>
    <w:p w14:paraId="19713237" w14:textId="77777777" w:rsidR="00605251" w:rsidRPr="000A4F11" w:rsidRDefault="00605251" w:rsidP="00217C77">
      <w:pPr>
        <w:autoSpaceDE w:val="0"/>
        <w:autoSpaceDN w:val="0"/>
        <w:adjustRightInd w:val="0"/>
        <w:spacing w:after="120" w:line="276" w:lineRule="auto"/>
        <w:rPr>
          <w:rFonts w:cstheme="minorHAnsi"/>
          <w:sz w:val="8"/>
          <w:szCs w:val="24"/>
        </w:rPr>
      </w:pPr>
    </w:p>
    <w:p w14:paraId="26A03755" w14:textId="77777777" w:rsidR="00605251" w:rsidRPr="00464D50" w:rsidRDefault="00464D50" w:rsidP="00464D50">
      <w:pPr>
        <w:pStyle w:val="Nagwek2"/>
      </w:pPr>
      <w:bookmarkStart w:id="3" w:name="_Toc128052235"/>
      <w:r>
        <w:t>Limity kosztów:</w:t>
      </w:r>
      <w:bookmarkEnd w:id="3"/>
    </w:p>
    <w:p w14:paraId="6B777910" w14:textId="77777777" w:rsidR="00293A74" w:rsidRPr="009334A1" w:rsidRDefault="00932586" w:rsidP="00217C77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9334A1">
        <w:rPr>
          <w:rFonts w:cstheme="minorHAnsi"/>
          <w:sz w:val="24"/>
          <w:szCs w:val="24"/>
        </w:rPr>
        <w:t>Podsumowanie limitów</w:t>
      </w:r>
      <w:r w:rsidR="00293A74" w:rsidRPr="009334A1">
        <w:rPr>
          <w:rFonts w:cstheme="minorHAnsi"/>
          <w:sz w:val="24"/>
          <w:szCs w:val="24"/>
        </w:rPr>
        <w:t xml:space="preserve"> </w:t>
      </w:r>
      <w:r w:rsidR="004E1421" w:rsidRPr="009334A1">
        <w:rPr>
          <w:rFonts w:cstheme="minorHAnsi"/>
          <w:sz w:val="24"/>
          <w:szCs w:val="24"/>
        </w:rPr>
        <w:t xml:space="preserve">kosztów w działaniu </w:t>
      </w:r>
      <w:r w:rsidR="00293A74" w:rsidRPr="009334A1">
        <w:rPr>
          <w:rFonts w:cstheme="minorHAnsi"/>
          <w:sz w:val="24"/>
          <w:szCs w:val="24"/>
        </w:rPr>
        <w:t>w ramach kategorii wydatków:</w:t>
      </w:r>
    </w:p>
    <w:p w14:paraId="616C5C10" w14:textId="5D90E840" w:rsidR="00D8757E" w:rsidRPr="009334A1" w:rsidRDefault="00D8757E" w:rsidP="00217C7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9334A1">
        <w:rPr>
          <w:rFonts w:cstheme="minorHAnsi"/>
          <w:sz w:val="24"/>
          <w:szCs w:val="24"/>
        </w:rPr>
        <w:t>P</w:t>
      </w:r>
      <w:r w:rsidR="00293A74" w:rsidRPr="009334A1">
        <w:rPr>
          <w:rFonts w:cstheme="minorHAnsi"/>
          <w:sz w:val="24"/>
          <w:szCs w:val="24"/>
        </w:rPr>
        <w:t>odwykonawstwo części prac B+R - do max</w:t>
      </w:r>
      <w:r w:rsidRPr="009334A1">
        <w:rPr>
          <w:rFonts w:cstheme="minorHAnsi"/>
          <w:sz w:val="24"/>
          <w:szCs w:val="24"/>
        </w:rPr>
        <w:t>.</w:t>
      </w:r>
      <w:r w:rsidR="00293A74" w:rsidRPr="009334A1">
        <w:rPr>
          <w:rFonts w:cstheme="minorHAnsi"/>
          <w:sz w:val="24"/>
          <w:szCs w:val="24"/>
        </w:rPr>
        <w:t xml:space="preserve"> </w:t>
      </w:r>
      <w:r w:rsidR="00F83A6D" w:rsidRPr="009334A1">
        <w:rPr>
          <w:rFonts w:cstheme="minorHAnsi"/>
          <w:sz w:val="24"/>
          <w:szCs w:val="24"/>
        </w:rPr>
        <w:t>7</w:t>
      </w:r>
      <w:r w:rsidR="00293A74" w:rsidRPr="009334A1">
        <w:rPr>
          <w:rFonts w:cstheme="minorHAnsi"/>
          <w:sz w:val="24"/>
          <w:szCs w:val="24"/>
        </w:rPr>
        <w:t xml:space="preserve">0% </w:t>
      </w:r>
      <w:r w:rsidR="0046194B" w:rsidRPr="009334A1">
        <w:rPr>
          <w:rFonts w:cstheme="minorHAnsi"/>
          <w:sz w:val="24"/>
          <w:szCs w:val="24"/>
        </w:rPr>
        <w:t xml:space="preserve">kosztów </w:t>
      </w:r>
      <w:r w:rsidR="00580A3C" w:rsidRPr="009334A1">
        <w:rPr>
          <w:rFonts w:cstheme="minorHAnsi"/>
          <w:sz w:val="24"/>
          <w:szCs w:val="24"/>
        </w:rPr>
        <w:t xml:space="preserve">kwalifikowanych </w:t>
      </w:r>
      <w:r w:rsidR="0046194B" w:rsidRPr="009334A1">
        <w:rPr>
          <w:rFonts w:cstheme="minorHAnsi"/>
          <w:sz w:val="24"/>
          <w:szCs w:val="24"/>
        </w:rPr>
        <w:t>projektu</w:t>
      </w:r>
      <w:r w:rsidR="00993380" w:rsidRPr="009334A1">
        <w:rPr>
          <w:rFonts w:cstheme="minorHAnsi"/>
          <w:sz w:val="24"/>
          <w:szCs w:val="24"/>
        </w:rPr>
        <w:t>.</w:t>
      </w:r>
      <w:r w:rsidR="0046194B" w:rsidRPr="009334A1">
        <w:rPr>
          <w:rFonts w:cstheme="minorHAnsi"/>
          <w:sz w:val="24"/>
          <w:szCs w:val="24"/>
        </w:rPr>
        <w:t xml:space="preserve"> </w:t>
      </w:r>
    </w:p>
    <w:p w14:paraId="1514B864" w14:textId="77777777" w:rsidR="00D8757E" w:rsidRPr="009334A1" w:rsidRDefault="00D8757E" w:rsidP="00D8757E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9334A1">
        <w:rPr>
          <w:rFonts w:cstheme="minorHAnsi"/>
          <w:sz w:val="24"/>
          <w:szCs w:val="24"/>
        </w:rPr>
        <w:t>C</w:t>
      </w:r>
      <w:r w:rsidR="00293A74" w:rsidRPr="009334A1">
        <w:rPr>
          <w:rFonts w:cstheme="minorHAnsi"/>
          <w:sz w:val="24"/>
          <w:szCs w:val="24"/>
        </w:rPr>
        <w:t>ross-</w:t>
      </w:r>
      <w:proofErr w:type="spellStart"/>
      <w:r w:rsidR="00293A74" w:rsidRPr="009334A1">
        <w:rPr>
          <w:rFonts w:cstheme="minorHAnsi"/>
          <w:sz w:val="24"/>
          <w:szCs w:val="24"/>
        </w:rPr>
        <w:t>financing</w:t>
      </w:r>
      <w:proofErr w:type="spellEnd"/>
      <w:r w:rsidR="00293A74" w:rsidRPr="009334A1">
        <w:rPr>
          <w:rFonts w:cstheme="minorHAnsi"/>
          <w:sz w:val="24"/>
          <w:szCs w:val="24"/>
        </w:rPr>
        <w:t xml:space="preserve"> </w:t>
      </w:r>
      <w:r w:rsidRPr="009334A1">
        <w:rPr>
          <w:rFonts w:cstheme="minorHAnsi"/>
          <w:sz w:val="24"/>
          <w:szCs w:val="24"/>
        </w:rPr>
        <w:t xml:space="preserve">związany z podnoszeniem kompetencji pracowników MŚP </w:t>
      </w:r>
      <w:r w:rsidR="00293A74" w:rsidRPr="009334A1">
        <w:rPr>
          <w:rFonts w:cstheme="minorHAnsi"/>
          <w:sz w:val="24"/>
          <w:szCs w:val="24"/>
        </w:rPr>
        <w:t>- do max 15% kosztów kwalifikowalnych projektu</w:t>
      </w:r>
      <w:r w:rsidRPr="009334A1">
        <w:rPr>
          <w:rFonts w:cstheme="minorHAnsi"/>
          <w:sz w:val="24"/>
          <w:szCs w:val="24"/>
        </w:rPr>
        <w:t>.</w:t>
      </w:r>
    </w:p>
    <w:p w14:paraId="3524EF69" w14:textId="606E4423" w:rsidR="00661626" w:rsidRPr="009334A1" w:rsidRDefault="00293A74" w:rsidP="002E5EC9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9334A1">
        <w:rPr>
          <w:rFonts w:cstheme="minorHAnsi"/>
          <w:sz w:val="24"/>
          <w:szCs w:val="24"/>
        </w:rPr>
        <w:t>Dodatkowe koszty ogólne i inne koszty operacyjne, w tym koszty materiałów, dostaw i podobnych produktów, ponoszone bezpośrednio w wynik</w:t>
      </w:r>
      <w:r w:rsidR="00932586" w:rsidRPr="009334A1">
        <w:rPr>
          <w:rFonts w:cstheme="minorHAnsi"/>
          <w:sz w:val="24"/>
          <w:szCs w:val="24"/>
        </w:rPr>
        <w:t>u realizacji projektu - do max 5</w:t>
      </w:r>
      <w:r w:rsidRPr="009334A1">
        <w:rPr>
          <w:rFonts w:cstheme="minorHAnsi"/>
          <w:sz w:val="24"/>
          <w:szCs w:val="24"/>
        </w:rPr>
        <w:t xml:space="preserve">0% kosztów kwalifikowalnych </w:t>
      </w:r>
      <w:r w:rsidR="00580A3C" w:rsidRPr="009334A1">
        <w:rPr>
          <w:rFonts w:cstheme="minorHAnsi"/>
          <w:sz w:val="24"/>
          <w:szCs w:val="24"/>
        </w:rPr>
        <w:t>projektu.</w:t>
      </w:r>
    </w:p>
    <w:sectPr w:rsidR="00661626" w:rsidRPr="009334A1" w:rsidSect="006A5C66">
      <w:headerReference w:type="default" r:id="rId13"/>
      <w:footerReference w:type="default" r:id="rId14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B8BE" w14:textId="77777777" w:rsidR="003664AB" w:rsidRDefault="003664AB" w:rsidP="009E2B02">
      <w:pPr>
        <w:spacing w:after="0" w:line="240" w:lineRule="auto"/>
      </w:pPr>
      <w:r>
        <w:separator/>
      </w:r>
    </w:p>
  </w:endnote>
  <w:endnote w:type="continuationSeparator" w:id="0">
    <w:p w14:paraId="3CF7E31A" w14:textId="77777777" w:rsidR="003664AB" w:rsidRDefault="003664AB" w:rsidP="009E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1392097"/>
      <w:docPartObj>
        <w:docPartGallery w:val="Page Numbers (Bottom of Page)"/>
        <w:docPartUnique/>
      </w:docPartObj>
    </w:sdtPr>
    <w:sdtEndPr/>
    <w:sdtContent>
      <w:p w14:paraId="0127874D" w14:textId="77777777" w:rsidR="00D22B46" w:rsidRDefault="00D22B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A6D">
          <w:rPr>
            <w:noProof/>
          </w:rPr>
          <w:t>14</w:t>
        </w:r>
        <w:r>
          <w:fldChar w:fldCharType="end"/>
        </w:r>
      </w:p>
    </w:sdtContent>
  </w:sdt>
  <w:p w14:paraId="647E4872" w14:textId="77777777" w:rsidR="00D22B46" w:rsidRDefault="00D22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B03AF" w14:textId="77777777" w:rsidR="003664AB" w:rsidRDefault="003664AB" w:rsidP="009E2B02">
      <w:pPr>
        <w:spacing w:after="0" w:line="240" w:lineRule="auto"/>
      </w:pPr>
      <w:r>
        <w:separator/>
      </w:r>
    </w:p>
  </w:footnote>
  <w:footnote w:type="continuationSeparator" w:id="0">
    <w:p w14:paraId="41250F03" w14:textId="77777777" w:rsidR="003664AB" w:rsidRDefault="003664AB" w:rsidP="009E2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9257" w14:textId="16894A58" w:rsidR="00ED3B28" w:rsidRPr="00647B87" w:rsidRDefault="00ED3B28" w:rsidP="00ED3B28">
    <w:pPr>
      <w:widowControl w:val="0"/>
      <w:spacing w:after="0" w:line="240" w:lineRule="auto"/>
      <w:jc w:val="right"/>
      <w:rPr>
        <w:rFonts w:eastAsia="Arial" w:cstheme="minorHAnsi"/>
        <w:iCs/>
      </w:rPr>
    </w:pPr>
    <w:r w:rsidRPr="00647B87">
      <w:rPr>
        <w:rFonts w:eastAsia="Arial" w:cstheme="minorHAnsi"/>
        <w:b/>
        <w:iCs/>
      </w:rPr>
      <w:t xml:space="preserve">Załącznik nr </w:t>
    </w:r>
    <w:r>
      <w:rPr>
        <w:rFonts w:eastAsia="Arial" w:cstheme="minorHAnsi"/>
        <w:b/>
        <w:iCs/>
      </w:rPr>
      <w:t>10</w:t>
    </w:r>
    <w:r w:rsidRPr="00647B87">
      <w:rPr>
        <w:rFonts w:eastAsia="Arial" w:cstheme="minorHAnsi"/>
        <w:b/>
        <w:iCs/>
      </w:rPr>
      <w:t xml:space="preserve"> </w:t>
    </w:r>
    <w:r w:rsidRPr="00647B87">
      <w:rPr>
        <w:rFonts w:eastAsia="Arial" w:cstheme="minorHAnsi"/>
        <w:iCs/>
      </w:rPr>
      <w:t xml:space="preserve">do Regulaminu wyboru projektów </w:t>
    </w:r>
  </w:p>
  <w:p w14:paraId="05ABF790" w14:textId="0ACF3E93" w:rsidR="00ED3B28" w:rsidRPr="00647B87" w:rsidRDefault="00ED3B28" w:rsidP="00ED3B28">
    <w:pPr>
      <w:pStyle w:val="Nagwek"/>
      <w:jc w:val="right"/>
      <w:rPr>
        <w:rFonts w:eastAsia="Arial" w:cstheme="minorHAnsi"/>
        <w:iCs/>
      </w:rPr>
    </w:pPr>
    <w:r w:rsidRPr="00647B87">
      <w:rPr>
        <w:rFonts w:eastAsia="Arial" w:cstheme="minorHAnsi"/>
        <w:iCs/>
      </w:rPr>
      <w:t xml:space="preserve">Działanie </w:t>
    </w:r>
    <w:r w:rsidRPr="00BD7D65">
      <w:rPr>
        <w:rFonts w:eastAsia="Arial" w:cstheme="minorHAnsi"/>
        <w:bCs/>
        <w:iCs/>
      </w:rPr>
      <w:t>1.</w:t>
    </w:r>
    <w:r>
      <w:rPr>
        <w:rFonts w:eastAsia="Arial" w:cstheme="minorHAnsi"/>
        <w:bCs/>
        <w:iCs/>
      </w:rPr>
      <w:t>1</w:t>
    </w:r>
    <w:r w:rsidRPr="00BD7D65">
      <w:rPr>
        <w:rFonts w:eastAsia="Arial" w:cstheme="minorHAnsi"/>
        <w:bCs/>
        <w:iCs/>
      </w:rPr>
      <w:t xml:space="preserve"> </w:t>
    </w:r>
    <w:r>
      <w:rPr>
        <w:rFonts w:eastAsia="Arial" w:cstheme="minorHAnsi"/>
        <w:bCs/>
        <w:iCs/>
      </w:rPr>
      <w:t xml:space="preserve">Prace B+R i infrastruktura </w:t>
    </w:r>
    <w:r w:rsidR="00504A2E">
      <w:rPr>
        <w:rFonts w:eastAsia="Arial" w:cstheme="minorHAnsi"/>
        <w:bCs/>
        <w:iCs/>
      </w:rPr>
      <w:t xml:space="preserve">w </w:t>
    </w:r>
    <w:r>
      <w:rPr>
        <w:rFonts w:eastAsia="Arial" w:cstheme="minorHAnsi"/>
        <w:bCs/>
        <w:iCs/>
      </w:rPr>
      <w:t>MŚP</w:t>
    </w:r>
    <w:r w:rsidRPr="00BD7D65">
      <w:rPr>
        <w:rFonts w:eastAsia="Arial" w:cstheme="minorHAnsi"/>
        <w:bCs/>
        <w:iCs/>
      </w:rPr>
      <w:t xml:space="preserve"> </w:t>
    </w:r>
    <w:r w:rsidRPr="00647B87">
      <w:rPr>
        <w:rFonts w:eastAsia="Arial" w:cstheme="minorHAnsi"/>
        <w:iCs/>
      </w:rPr>
      <w:t>FEO 2021-2027,</w:t>
    </w:r>
  </w:p>
  <w:p w14:paraId="31450EA1" w14:textId="1BCB00F3" w:rsidR="00ED3B28" w:rsidRDefault="00ED3B28" w:rsidP="00ED3B28">
    <w:pPr>
      <w:pStyle w:val="Nagwek"/>
      <w:jc w:val="right"/>
      <w:rPr>
        <w:rFonts w:eastAsia="Arial" w:cstheme="minorHAnsi"/>
        <w:iCs/>
      </w:rPr>
    </w:pPr>
    <w:r w:rsidRPr="00647B87">
      <w:rPr>
        <w:rFonts w:eastAsia="Arial" w:cstheme="minorHAnsi"/>
        <w:iCs/>
      </w:rPr>
      <w:tab/>
    </w:r>
    <w:r w:rsidRPr="00647B87">
      <w:rPr>
        <w:rFonts w:eastAsia="Arial" w:cstheme="minorHAnsi"/>
        <w:iCs/>
      </w:rPr>
      <w:tab/>
      <w:t xml:space="preserve">  </w:t>
    </w:r>
    <w:r w:rsidR="00CD527F">
      <w:rPr>
        <w:rFonts w:eastAsia="Arial" w:cstheme="minorHAnsi"/>
        <w:iCs/>
      </w:rPr>
      <w:t xml:space="preserve">wrzesień </w:t>
    </w:r>
    <w:r w:rsidRPr="00647B87">
      <w:rPr>
        <w:rFonts w:eastAsia="Arial" w:cstheme="minorHAnsi"/>
        <w:iCs/>
      </w:rPr>
      <w:t>2025 r.</w:t>
    </w:r>
  </w:p>
  <w:p w14:paraId="07EF062D" w14:textId="77777777" w:rsidR="009E2B02" w:rsidRDefault="009E2B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BFCA5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A5D3A"/>
    <w:multiLevelType w:val="hybridMultilevel"/>
    <w:tmpl w:val="8B0A9120"/>
    <w:lvl w:ilvl="0" w:tplc="4A784294">
      <w:start w:val="1"/>
      <w:numFmt w:val="decimal"/>
      <w:lvlText w:val="%1."/>
      <w:lvlJc w:val="left"/>
      <w:pPr>
        <w:ind w:left="785" w:hanging="36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B6E13A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971"/>
    <w:multiLevelType w:val="hybridMultilevel"/>
    <w:tmpl w:val="739A4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835CB"/>
    <w:multiLevelType w:val="multilevel"/>
    <w:tmpl w:val="FA92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605AF"/>
    <w:multiLevelType w:val="hybridMultilevel"/>
    <w:tmpl w:val="D7A68D58"/>
    <w:lvl w:ilvl="0" w:tplc="0624DEC8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D7CF5"/>
    <w:multiLevelType w:val="hybridMultilevel"/>
    <w:tmpl w:val="2670F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27B3B"/>
    <w:multiLevelType w:val="hybridMultilevel"/>
    <w:tmpl w:val="C396CF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C66098"/>
    <w:multiLevelType w:val="hybridMultilevel"/>
    <w:tmpl w:val="E14CB5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7044436"/>
    <w:multiLevelType w:val="hybridMultilevel"/>
    <w:tmpl w:val="CA465E36"/>
    <w:lvl w:ilvl="0" w:tplc="A31CEB02">
      <w:start w:val="1"/>
      <w:numFmt w:val="decimal"/>
      <w:lvlText w:val="%1."/>
      <w:lvlJc w:val="left"/>
      <w:pPr>
        <w:ind w:left="785" w:hanging="36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B6E13A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2194C"/>
    <w:multiLevelType w:val="hybridMultilevel"/>
    <w:tmpl w:val="79AA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4228C"/>
    <w:multiLevelType w:val="hybridMultilevel"/>
    <w:tmpl w:val="9D94A2BA"/>
    <w:lvl w:ilvl="0" w:tplc="542218C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494679C"/>
    <w:multiLevelType w:val="hybridMultilevel"/>
    <w:tmpl w:val="8278A71A"/>
    <w:lvl w:ilvl="0" w:tplc="FB7A43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1107E"/>
    <w:multiLevelType w:val="multilevel"/>
    <w:tmpl w:val="5C70A0B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5E5348"/>
    <w:multiLevelType w:val="hybridMultilevel"/>
    <w:tmpl w:val="ACD02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E7E4C"/>
    <w:multiLevelType w:val="hybridMultilevel"/>
    <w:tmpl w:val="21BC7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51983"/>
    <w:multiLevelType w:val="hybridMultilevel"/>
    <w:tmpl w:val="BFC44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42750"/>
    <w:multiLevelType w:val="hybridMultilevel"/>
    <w:tmpl w:val="C19E3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2526C"/>
    <w:multiLevelType w:val="hybridMultilevel"/>
    <w:tmpl w:val="3E828C3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307902715">
    <w:abstractNumId w:val="11"/>
  </w:num>
  <w:num w:numId="2" w16cid:durableId="449326589">
    <w:abstractNumId w:val="4"/>
  </w:num>
  <w:num w:numId="3" w16cid:durableId="855264264">
    <w:abstractNumId w:val="14"/>
  </w:num>
  <w:num w:numId="4" w16cid:durableId="1205558180">
    <w:abstractNumId w:val="2"/>
  </w:num>
  <w:num w:numId="5" w16cid:durableId="210922922">
    <w:abstractNumId w:val="5"/>
  </w:num>
  <w:num w:numId="6" w16cid:durableId="19917886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88409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2511183">
    <w:abstractNumId w:val="6"/>
  </w:num>
  <w:num w:numId="9" w16cid:durableId="1993098848">
    <w:abstractNumId w:val="7"/>
  </w:num>
  <w:num w:numId="10" w16cid:durableId="90468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173901">
    <w:abstractNumId w:val="17"/>
  </w:num>
  <w:num w:numId="12" w16cid:durableId="337537969">
    <w:abstractNumId w:val="1"/>
  </w:num>
  <w:num w:numId="13" w16cid:durableId="1798183090">
    <w:abstractNumId w:val="10"/>
  </w:num>
  <w:num w:numId="14" w16cid:durableId="1577128445">
    <w:abstractNumId w:val="9"/>
  </w:num>
  <w:num w:numId="15" w16cid:durableId="341133390">
    <w:abstractNumId w:val="15"/>
  </w:num>
  <w:num w:numId="16" w16cid:durableId="1418550194">
    <w:abstractNumId w:val="8"/>
  </w:num>
  <w:num w:numId="17" w16cid:durableId="106848828">
    <w:abstractNumId w:val="16"/>
  </w:num>
  <w:num w:numId="18" w16cid:durableId="1705598123">
    <w:abstractNumId w:val="3"/>
  </w:num>
  <w:num w:numId="19" w16cid:durableId="2084179860">
    <w:abstractNumId w:val="13"/>
  </w:num>
  <w:num w:numId="20" w16cid:durableId="74456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26"/>
    <w:rsid w:val="0001433A"/>
    <w:rsid w:val="000303D6"/>
    <w:rsid w:val="00040706"/>
    <w:rsid w:val="000453D7"/>
    <w:rsid w:val="00051AFA"/>
    <w:rsid w:val="00052FA2"/>
    <w:rsid w:val="000575B6"/>
    <w:rsid w:val="00061493"/>
    <w:rsid w:val="000636EE"/>
    <w:rsid w:val="00064484"/>
    <w:rsid w:val="000647C3"/>
    <w:rsid w:val="00066D9D"/>
    <w:rsid w:val="00082DBD"/>
    <w:rsid w:val="00083D66"/>
    <w:rsid w:val="0008622D"/>
    <w:rsid w:val="00093E4F"/>
    <w:rsid w:val="000A4F11"/>
    <w:rsid w:val="000A70B6"/>
    <w:rsid w:val="000B0534"/>
    <w:rsid w:val="000B30DF"/>
    <w:rsid w:val="000B421C"/>
    <w:rsid w:val="000B7E35"/>
    <w:rsid w:val="000C6FEC"/>
    <w:rsid w:val="000D1FC3"/>
    <w:rsid w:val="000D24D6"/>
    <w:rsid w:val="000D7FDF"/>
    <w:rsid w:val="000F0EFB"/>
    <w:rsid w:val="001133E0"/>
    <w:rsid w:val="00115D55"/>
    <w:rsid w:val="0012468B"/>
    <w:rsid w:val="00125E79"/>
    <w:rsid w:val="00126AA8"/>
    <w:rsid w:val="001311F6"/>
    <w:rsid w:val="001336FD"/>
    <w:rsid w:val="00145599"/>
    <w:rsid w:val="00154581"/>
    <w:rsid w:val="00161185"/>
    <w:rsid w:val="0016494E"/>
    <w:rsid w:val="0017045D"/>
    <w:rsid w:val="001738C3"/>
    <w:rsid w:val="001819B7"/>
    <w:rsid w:val="00183783"/>
    <w:rsid w:val="0018455C"/>
    <w:rsid w:val="00186315"/>
    <w:rsid w:val="001878F0"/>
    <w:rsid w:val="001902AC"/>
    <w:rsid w:val="001947BA"/>
    <w:rsid w:val="001A2307"/>
    <w:rsid w:val="001B5BE9"/>
    <w:rsid w:val="001C1845"/>
    <w:rsid w:val="001C1870"/>
    <w:rsid w:val="001C4226"/>
    <w:rsid w:val="001D79FF"/>
    <w:rsid w:val="001E2783"/>
    <w:rsid w:val="001E4186"/>
    <w:rsid w:val="001F766A"/>
    <w:rsid w:val="00201F6E"/>
    <w:rsid w:val="00202E0B"/>
    <w:rsid w:val="002056D6"/>
    <w:rsid w:val="0020778E"/>
    <w:rsid w:val="0021046B"/>
    <w:rsid w:val="00215684"/>
    <w:rsid w:val="00217C77"/>
    <w:rsid w:val="00224E17"/>
    <w:rsid w:val="00232178"/>
    <w:rsid w:val="0024069D"/>
    <w:rsid w:val="00242277"/>
    <w:rsid w:val="002454B2"/>
    <w:rsid w:val="002557EB"/>
    <w:rsid w:val="00280C32"/>
    <w:rsid w:val="00281D53"/>
    <w:rsid w:val="0028503C"/>
    <w:rsid w:val="002934CA"/>
    <w:rsid w:val="00293A74"/>
    <w:rsid w:val="00295380"/>
    <w:rsid w:val="002A3FF4"/>
    <w:rsid w:val="002B3D53"/>
    <w:rsid w:val="002C1EF7"/>
    <w:rsid w:val="002C2435"/>
    <w:rsid w:val="002C3317"/>
    <w:rsid w:val="002D3155"/>
    <w:rsid w:val="002E446C"/>
    <w:rsid w:val="002E5EC9"/>
    <w:rsid w:val="002F00DD"/>
    <w:rsid w:val="002F1D9A"/>
    <w:rsid w:val="002F5355"/>
    <w:rsid w:val="00303873"/>
    <w:rsid w:val="00305A27"/>
    <w:rsid w:val="00306162"/>
    <w:rsid w:val="00313D20"/>
    <w:rsid w:val="00347A24"/>
    <w:rsid w:val="0035446C"/>
    <w:rsid w:val="00355FCE"/>
    <w:rsid w:val="003664AB"/>
    <w:rsid w:val="003713D7"/>
    <w:rsid w:val="00371DEB"/>
    <w:rsid w:val="0038038C"/>
    <w:rsid w:val="00387BC9"/>
    <w:rsid w:val="00387E14"/>
    <w:rsid w:val="00391BB4"/>
    <w:rsid w:val="003A505F"/>
    <w:rsid w:val="003A62EC"/>
    <w:rsid w:val="003A727D"/>
    <w:rsid w:val="003B3C97"/>
    <w:rsid w:val="003D41E6"/>
    <w:rsid w:val="003D4C88"/>
    <w:rsid w:val="003D55AF"/>
    <w:rsid w:val="003E62B2"/>
    <w:rsid w:val="003E6EA3"/>
    <w:rsid w:val="003F1627"/>
    <w:rsid w:val="003F4D34"/>
    <w:rsid w:val="003F58EA"/>
    <w:rsid w:val="00400182"/>
    <w:rsid w:val="00404C9B"/>
    <w:rsid w:val="004125FF"/>
    <w:rsid w:val="004138B3"/>
    <w:rsid w:val="00416862"/>
    <w:rsid w:val="0042473D"/>
    <w:rsid w:val="004322E1"/>
    <w:rsid w:val="004442CB"/>
    <w:rsid w:val="00446C1C"/>
    <w:rsid w:val="004513B2"/>
    <w:rsid w:val="004523EE"/>
    <w:rsid w:val="0046194B"/>
    <w:rsid w:val="00464D50"/>
    <w:rsid w:val="0047520C"/>
    <w:rsid w:val="00484334"/>
    <w:rsid w:val="0048619F"/>
    <w:rsid w:val="00487100"/>
    <w:rsid w:val="004A067B"/>
    <w:rsid w:val="004A1450"/>
    <w:rsid w:val="004B2736"/>
    <w:rsid w:val="004C018B"/>
    <w:rsid w:val="004C509D"/>
    <w:rsid w:val="004C5CE8"/>
    <w:rsid w:val="004C6FE8"/>
    <w:rsid w:val="004E1421"/>
    <w:rsid w:val="005031DD"/>
    <w:rsid w:val="00504A2E"/>
    <w:rsid w:val="00514600"/>
    <w:rsid w:val="00524015"/>
    <w:rsid w:val="005243B7"/>
    <w:rsid w:val="00525445"/>
    <w:rsid w:val="005273E9"/>
    <w:rsid w:val="005302D9"/>
    <w:rsid w:val="0054015F"/>
    <w:rsid w:val="00540378"/>
    <w:rsid w:val="00541B9F"/>
    <w:rsid w:val="005452A8"/>
    <w:rsid w:val="005519E2"/>
    <w:rsid w:val="00556811"/>
    <w:rsid w:val="00580A3C"/>
    <w:rsid w:val="00581EB5"/>
    <w:rsid w:val="005878C7"/>
    <w:rsid w:val="00591705"/>
    <w:rsid w:val="00593866"/>
    <w:rsid w:val="00594E86"/>
    <w:rsid w:val="00595306"/>
    <w:rsid w:val="005A35B6"/>
    <w:rsid w:val="005B017C"/>
    <w:rsid w:val="005C0731"/>
    <w:rsid w:val="005C121B"/>
    <w:rsid w:val="005C3A8E"/>
    <w:rsid w:val="005C538E"/>
    <w:rsid w:val="005D3022"/>
    <w:rsid w:val="005D7438"/>
    <w:rsid w:val="005E3359"/>
    <w:rsid w:val="005F13EA"/>
    <w:rsid w:val="006044B1"/>
    <w:rsid w:val="00605251"/>
    <w:rsid w:val="00605882"/>
    <w:rsid w:val="00620654"/>
    <w:rsid w:val="00620B4A"/>
    <w:rsid w:val="00622F7D"/>
    <w:rsid w:val="006261C7"/>
    <w:rsid w:val="00633FB3"/>
    <w:rsid w:val="00651FB0"/>
    <w:rsid w:val="00661626"/>
    <w:rsid w:val="0066195D"/>
    <w:rsid w:val="00685434"/>
    <w:rsid w:val="006855AE"/>
    <w:rsid w:val="0069650B"/>
    <w:rsid w:val="006A26E8"/>
    <w:rsid w:val="006A5C66"/>
    <w:rsid w:val="006A60A0"/>
    <w:rsid w:val="006B416A"/>
    <w:rsid w:val="006B510D"/>
    <w:rsid w:val="006C4389"/>
    <w:rsid w:val="006C668A"/>
    <w:rsid w:val="006D2D11"/>
    <w:rsid w:val="006D7811"/>
    <w:rsid w:val="006E1F59"/>
    <w:rsid w:val="006F69E8"/>
    <w:rsid w:val="0071040C"/>
    <w:rsid w:val="00721164"/>
    <w:rsid w:val="00721795"/>
    <w:rsid w:val="0072187B"/>
    <w:rsid w:val="007222BF"/>
    <w:rsid w:val="007245F1"/>
    <w:rsid w:val="0073607E"/>
    <w:rsid w:val="007468C4"/>
    <w:rsid w:val="00754A1C"/>
    <w:rsid w:val="00761DF4"/>
    <w:rsid w:val="007624AA"/>
    <w:rsid w:val="007666D7"/>
    <w:rsid w:val="00782BDB"/>
    <w:rsid w:val="00785C94"/>
    <w:rsid w:val="00793BC6"/>
    <w:rsid w:val="00795B9D"/>
    <w:rsid w:val="0079689C"/>
    <w:rsid w:val="007A11A3"/>
    <w:rsid w:val="007A18DB"/>
    <w:rsid w:val="007A56A7"/>
    <w:rsid w:val="007B0EB0"/>
    <w:rsid w:val="007C7F39"/>
    <w:rsid w:val="007D1656"/>
    <w:rsid w:val="007D50CA"/>
    <w:rsid w:val="007E63D8"/>
    <w:rsid w:val="007F2B3C"/>
    <w:rsid w:val="007F4E00"/>
    <w:rsid w:val="007F68A0"/>
    <w:rsid w:val="008108E0"/>
    <w:rsid w:val="00811767"/>
    <w:rsid w:val="008163B7"/>
    <w:rsid w:val="00817115"/>
    <w:rsid w:val="00825833"/>
    <w:rsid w:val="0083302F"/>
    <w:rsid w:val="00852797"/>
    <w:rsid w:val="00852F85"/>
    <w:rsid w:val="008571F2"/>
    <w:rsid w:val="0085746B"/>
    <w:rsid w:val="008574F3"/>
    <w:rsid w:val="00863034"/>
    <w:rsid w:val="008745D9"/>
    <w:rsid w:val="00880E45"/>
    <w:rsid w:val="00896EF0"/>
    <w:rsid w:val="00897F73"/>
    <w:rsid w:val="008A0616"/>
    <w:rsid w:val="008B1186"/>
    <w:rsid w:val="008B59EA"/>
    <w:rsid w:val="008C0238"/>
    <w:rsid w:val="008D0CFD"/>
    <w:rsid w:val="008E048D"/>
    <w:rsid w:val="008F619A"/>
    <w:rsid w:val="009013E2"/>
    <w:rsid w:val="00903E98"/>
    <w:rsid w:val="00907986"/>
    <w:rsid w:val="00920336"/>
    <w:rsid w:val="00925D6E"/>
    <w:rsid w:val="00927DD7"/>
    <w:rsid w:val="00930498"/>
    <w:rsid w:val="00932165"/>
    <w:rsid w:val="00932586"/>
    <w:rsid w:val="009334A1"/>
    <w:rsid w:val="00933C6D"/>
    <w:rsid w:val="00944E17"/>
    <w:rsid w:val="00947B32"/>
    <w:rsid w:val="00956D9C"/>
    <w:rsid w:val="00961BB4"/>
    <w:rsid w:val="00962229"/>
    <w:rsid w:val="009760C2"/>
    <w:rsid w:val="009772EF"/>
    <w:rsid w:val="0097768A"/>
    <w:rsid w:val="00980F03"/>
    <w:rsid w:val="00993380"/>
    <w:rsid w:val="009A08D2"/>
    <w:rsid w:val="009A73BE"/>
    <w:rsid w:val="009B4467"/>
    <w:rsid w:val="009B7AEB"/>
    <w:rsid w:val="009C0B06"/>
    <w:rsid w:val="009C4CB2"/>
    <w:rsid w:val="009D6535"/>
    <w:rsid w:val="009D732C"/>
    <w:rsid w:val="009E2B02"/>
    <w:rsid w:val="009E4E41"/>
    <w:rsid w:val="009E4F8D"/>
    <w:rsid w:val="009F2FD7"/>
    <w:rsid w:val="00A12207"/>
    <w:rsid w:val="00A21D50"/>
    <w:rsid w:val="00A226EC"/>
    <w:rsid w:val="00A507C8"/>
    <w:rsid w:val="00A52005"/>
    <w:rsid w:val="00A53B36"/>
    <w:rsid w:val="00A62C67"/>
    <w:rsid w:val="00A66ECF"/>
    <w:rsid w:val="00A706A2"/>
    <w:rsid w:val="00A81AC4"/>
    <w:rsid w:val="00A86117"/>
    <w:rsid w:val="00A9243B"/>
    <w:rsid w:val="00A93D64"/>
    <w:rsid w:val="00A95933"/>
    <w:rsid w:val="00AA1794"/>
    <w:rsid w:val="00AA3113"/>
    <w:rsid w:val="00AB645C"/>
    <w:rsid w:val="00AD2E3E"/>
    <w:rsid w:val="00AE3E34"/>
    <w:rsid w:val="00AF3C3F"/>
    <w:rsid w:val="00B00537"/>
    <w:rsid w:val="00B06271"/>
    <w:rsid w:val="00B14590"/>
    <w:rsid w:val="00B157ED"/>
    <w:rsid w:val="00B2770A"/>
    <w:rsid w:val="00B34A8A"/>
    <w:rsid w:val="00B4250D"/>
    <w:rsid w:val="00B46356"/>
    <w:rsid w:val="00B511D0"/>
    <w:rsid w:val="00B553D5"/>
    <w:rsid w:val="00B556E9"/>
    <w:rsid w:val="00B6441D"/>
    <w:rsid w:val="00B70495"/>
    <w:rsid w:val="00B76EDC"/>
    <w:rsid w:val="00B84065"/>
    <w:rsid w:val="00B874EE"/>
    <w:rsid w:val="00B97945"/>
    <w:rsid w:val="00BB13E6"/>
    <w:rsid w:val="00BB49E8"/>
    <w:rsid w:val="00BB6E6B"/>
    <w:rsid w:val="00BD1551"/>
    <w:rsid w:val="00BD21D8"/>
    <w:rsid w:val="00BD3A73"/>
    <w:rsid w:val="00BD78C3"/>
    <w:rsid w:val="00BD7E00"/>
    <w:rsid w:val="00BE2E03"/>
    <w:rsid w:val="00BF62E0"/>
    <w:rsid w:val="00BF6B7C"/>
    <w:rsid w:val="00C00E80"/>
    <w:rsid w:val="00C05CC8"/>
    <w:rsid w:val="00C207CD"/>
    <w:rsid w:val="00C239FA"/>
    <w:rsid w:val="00C25A80"/>
    <w:rsid w:val="00C34158"/>
    <w:rsid w:val="00C3629F"/>
    <w:rsid w:val="00C410EC"/>
    <w:rsid w:val="00C457F1"/>
    <w:rsid w:val="00C505F3"/>
    <w:rsid w:val="00C52B7D"/>
    <w:rsid w:val="00C74947"/>
    <w:rsid w:val="00C824DF"/>
    <w:rsid w:val="00C84DBF"/>
    <w:rsid w:val="00CA2895"/>
    <w:rsid w:val="00CA3C8B"/>
    <w:rsid w:val="00CA6719"/>
    <w:rsid w:val="00CB6E5B"/>
    <w:rsid w:val="00CC125E"/>
    <w:rsid w:val="00CD1DAA"/>
    <w:rsid w:val="00CD48E7"/>
    <w:rsid w:val="00CD527F"/>
    <w:rsid w:val="00CE16AE"/>
    <w:rsid w:val="00CF2CCF"/>
    <w:rsid w:val="00D05890"/>
    <w:rsid w:val="00D16264"/>
    <w:rsid w:val="00D17FAB"/>
    <w:rsid w:val="00D22B46"/>
    <w:rsid w:val="00D24E69"/>
    <w:rsid w:val="00D31CA4"/>
    <w:rsid w:val="00D42006"/>
    <w:rsid w:val="00D429EC"/>
    <w:rsid w:val="00D5053C"/>
    <w:rsid w:val="00D56CDF"/>
    <w:rsid w:val="00D60F37"/>
    <w:rsid w:val="00D632B2"/>
    <w:rsid w:val="00D675FB"/>
    <w:rsid w:val="00D7472A"/>
    <w:rsid w:val="00D86750"/>
    <w:rsid w:val="00D8757E"/>
    <w:rsid w:val="00D87A30"/>
    <w:rsid w:val="00D90D01"/>
    <w:rsid w:val="00DA0E9C"/>
    <w:rsid w:val="00DB76C8"/>
    <w:rsid w:val="00DE1363"/>
    <w:rsid w:val="00DE2652"/>
    <w:rsid w:val="00DF49A8"/>
    <w:rsid w:val="00DF768A"/>
    <w:rsid w:val="00E210D7"/>
    <w:rsid w:val="00E30AEF"/>
    <w:rsid w:val="00E3489C"/>
    <w:rsid w:val="00E607EF"/>
    <w:rsid w:val="00E61EDD"/>
    <w:rsid w:val="00E72783"/>
    <w:rsid w:val="00E76488"/>
    <w:rsid w:val="00E80777"/>
    <w:rsid w:val="00EB4B86"/>
    <w:rsid w:val="00EB619A"/>
    <w:rsid w:val="00EC2C5E"/>
    <w:rsid w:val="00EC4E36"/>
    <w:rsid w:val="00EC6E89"/>
    <w:rsid w:val="00EC72AE"/>
    <w:rsid w:val="00ED3B28"/>
    <w:rsid w:val="00ED3DE5"/>
    <w:rsid w:val="00EE7660"/>
    <w:rsid w:val="00F13CA7"/>
    <w:rsid w:val="00F2055F"/>
    <w:rsid w:val="00F22236"/>
    <w:rsid w:val="00F23E1B"/>
    <w:rsid w:val="00F30E90"/>
    <w:rsid w:val="00F319B5"/>
    <w:rsid w:val="00F32874"/>
    <w:rsid w:val="00F40F5E"/>
    <w:rsid w:val="00F454C6"/>
    <w:rsid w:val="00F52911"/>
    <w:rsid w:val="00F71C97"/>
    <w:rsid w:val="00F742C1"/>
    <w:rsid w:val="00F74F91"/>
    <w:rsid w:val="00F76D8E"/>
    <w:rsid w:val="00F83A6D"/>
    <w:rsid w:val="00F9581F"/>
    <w:rsid w:val="00FB2FD8"/>
    <w:rsid w:val="00FB5406"/>
    <w:rsid w:val="00FD5C3E"/>
    <w:rsid w:val="00FD5CA0"/>
    <w:rsid w:val="00FD6749"/>
    <w:rsid w:val="00FE24B7"/>
    <w:rsid w:val="00FE2B1B"/>
    <w:rsid w:val="00FE612C"/>
    <w:rsid w:val="00FE66E3"/>
    <w:rsid w:val="00FF0AE1"/>
    <w:rsid w:val="00FF2410"/>
    <w:rsid w:val="00FF41C5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902DA"/>
  <w15:chartTrackingRefBased/>
  <w15:docId w15:val="{D36412A4-4D7C-4CB6-BCF6-079F2B15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24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4D50"/>
    <w:pPr>
      <w:keepNext/>
      <w:keepLines/>
      <w:spacing w:after="120" w:line="276" w:lineRule="auto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661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16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6162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62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162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93A7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64D50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E24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4138B3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125E79"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E2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2B02"/>
  </w:style>
  <w:style w:type="paragraph" w:styleId="Stopka">
    <w:name w:val="footer"/>
    <w:basedOn w:val="Normalny"/>
    <w:link w:val="StopkaZnak"/>
    <w:uiPriority w:val="99"/>
    <w:unhideWhenUsed/>
    <w:rsid w:val="009E2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B02"/>
  </w:style>
  <w:style w:type="paragraph" w:styleId="Nagwekspisutreci">
    <w:name w:val="TOC Heading"/>
    <w:basedOn w:val="Nagwek1"/>
    <w:next w:val="Normalny"/>
    <w:uiPriority w:val="39"/>
    <w:unhideWhenUsed/>
    <w:qFormat/>
    <w:rsid w:val="00CA3C8B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A3C8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A3C8B"/>
    <w:pPr>
      <w:spacing w:after="100"/>
      <w:ind w:left="220"/>
    </w:pPr>
  </w:style>
  <w:style w:type="paragraph" w:styleId="Poprawka">
    <w:name w:val="Revision"/>
    <w:hidden/>
    <w:uiPriority w:val="99"/>
    <w:semiHidden/>
    <w:rsid w:val="00880E45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CB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C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2005"/>
    <w:rPr>
      <w:color w:val="605E5C"/>
      <w:shd w:val="clear" w:color="auto" w:fill="E1DFDD"/>
    </w:rPr>
  </w:style>
  <w:style w:type="paragraph" w:customStyle="1" w:styleId="Default">
    <w:name w:val="Default"/>
    <w:rsid w:val="005B01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28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3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390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6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7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99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50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58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83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0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7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6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5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90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9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99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46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1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8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73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02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91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83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0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98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unduszeeuropejskie.gov.pl/strony/o-funduszach/dokumenty/wytyczne-dotyczace-kwalifikowalnosci-2021-2027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strony/o-funduszach/dokumenty/wytyczne-dotyczace-kwalifikowalnosci-2021-2027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unduszeeuropejskie.gov.pl/strony/o-funduszach/dokumenty/wytyczne-dotyczace-kwalifikowalnosci-2021-20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dotyczace-kwalifikowalnosci-2021-2027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E97CE-0CA0-445D-9315-9433FEBC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3689</Words>
  <Characters>22137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Kaliciak-Gebauer</dc:creator>
  <cp:keywords/>
  <dc:description/>
  <cp:lastModifiedBy>Sebastian Piosek</cp:lastModifiedBy>
  <cp:revision>6</cp:revision>
  <cp:lastPrinted>2025-08-25T09:00:00Z</cp:lastPrinted>
  <dcterms:created xsi:type="dcterms:W3CDTF">2025-09-16T12:06:00Z</dcterms:created>
  <dcterms:modified xsi:type="dcterms:W3CDTF">2025-09-18T09:50:00Z</dcterms:modified>
</cp:coreProperties>
</file>