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07E2D52B" w14:textId="77777777" w:rsidR="00776A3B" w:rsidRDefault="00776A3B"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FEOP.05.10-IP.02-001/2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roofErr w:type="gramStart"/>
      <w:r w:rsidR="00D4491E" w:rsidRPr="00D4491E">
        <w:rPr>
          <w:rFonts w:ascii="Calibri" w:eastAsia="Times New Roman" w:hAnsi="Calibri" w:cs="Times New Roman"/>
          <w:sz w:val="24"/>
          <w:szCs w:val="24"/>
          <w:lang w:eastAsia="pl-PL"/>
        </w:rPr>
        <w:t>…….</w:t>
      </w:r>
      <w:proofErr w:type="gramEnd"/>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roofErr w:type="gramStart"/>
      <w:r w:rsidRPr="00D4491E">
        <w:rPr>
          <w:rFonts w:ascii="Calibri" w:eastAsia="Times New Roman" w:hAnsi="Calibri" w:cs="Times New Roman"/>
          <w:sz w:val="24"/>
          <w:szCs w:val="24"/>
          <w:lang w:eastAsia="pl-PL"/>
        </w:rPr>
        <w:t>…….</w:t>
      </w:r>
      <w:proofErr w:type="gramEnd"/>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3B98D5EC"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D01FFE" w:rsidRPr="00D01FFE">
        <w:rPr>
          <w:rFonts w:eastAsia="Times New Roman" w:cstheme="minorHAnsi"/>
          <w:sz w:val="24"/>
          <w:szCs w:val="24"/>
          <w:lang w:eastAsia="pl-PL"/>
        </w:rPr>
        <w:t>3593</w:t>
      </w:r>
      <w:r w:rsidR="00EC78EC">
        <w:rPr>
          <w:rFonts w:eastAsia="Times New Roman" w:cstheme="minorHAnsi"/>
          <w:sz w:val="24"/>
          <w:szCs w:val="24"/>
          <w:lang w:eastAsia="pl-PL"/>
        </w:rPr>
        <w:t>/202</w:t>
      </w:r>
      <w:r w:rsidR="00610B32">
        <w:rPr>
          <w:rFonts w:eastAsia="Times New Roman" w:cstheme="minorHAnsi"/>
          <w:sz w:val="24"/>
          <w:szCs w:val="24"/>
          <w:lang w:eastAsia="pl-PL"/>
        </w:rPr>
        <w:t>5</w:t>
      </w:r>
      <w:r w:rsidR="00EC78EC">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D01FFE">
        <w:rPr>
          <w:rFonts w:eastAsia="Times New Roman" w:cstheme="minorHAnsi"/>
          <w:sz w:val="24"/>
          <w:szCs w:val="24"/>
          <w:lang w:eastAsia="pl-PL"/>
        </w:rPr>
        <w:t>26</w:t>
      </w:r>
      <w:r w:rsidR="00225FDA">
        <w:rPr>
          <w:rFonts w:eastAsia="Times New Roman" w:cstheme="minorHAnsi"/>
          <w:sz w:val="24"/>
          <w:szCs w:val="24"/>
          <w:lang w:eastAsia="pl-PL"/>
        </w:rPr>
        <w:t xml:space="preserve"> sierpnia </w:t>
      </w:r>
      <w:r w:rsidR="00F0659F">
        <w:rPr>
          <w:rFonts w:eastAsia="Times New Roman" w:cstheme="minorHAnsi"/>
          <w:sz w:val="24"/>
          <w:szCs w:val="24"/>
          <w:lang w:eastAsia="pl-PL"/>
        </w:rPr>
        <w:t>202</w:t>
      </w:r>
      <w:r w:rsidR="00610B32">
        <w:rPr>
          <w:rFonts w:eastAsia="Times New Roman" w:cstheme="minorHAnsi"/>
          <w:sz w:val="24"/>
          <w:szCs w:val="24"/>
          <w:lang w:eastAsia="pl-PL"/>
        </w:rPr>
        <w:t>5</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40B45F3A"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FE059A">
        <w:rPr>
          <w:rFonts w:eastAsia="Times New Roman" w:cstheme="minorHAnsi"/>
          <w:sz w:val="24"/>
          <w:szCs w:val="24"/>
          <w:lang w:eastAsia="pl-PL"/>
        </w:rPr>
        <w:t>sierpień</w:t>
      </w:r>
      <w:r w:rsidR="00FE059A"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610B32">
        <w:rPr>
          <w:rFonts w:eastAsia="Times New Roman" w:cstheme="minorHAnsi"/>
          <w:sz w:val="24"/>
          <w:szCs w:val="24"/>
          <w:lang w:eastAsia="pl-PL"/>
        </w:rPr>
        <w:t>5</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4C0873F0"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1FCAFB45" w14:textId="52B08168" w:rsidR="005B0A5B"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77046216" w:history="1">
            <w:r w:rsidR="005B0A5B" w:rsidRPr="002F26F7">
              <w:rPr>
                <w:rStyle w:val="Hipercze"/>
              </w:rPr>
              <w:t>I.</w:t>
            </w:r>
            <w:r w:rsidR="005B0A5B">
              <w:rPr>
                <w:rFonts w:eastAsiaTheme="minorEastAsia" w:cstheme="minorBidi"/>
                <w:b w:val="0"/>
                <w:kern w:val="2"/>
                <w:sz w:val="22"/>
                <w:szCs w:val="22"/>
                <w14:ligatures w14:val="standardContextual"/>
              </w:rPr>
              <w:tab/>
            </w:r>
            <w:r w:rsidR="005B0A5B" w:rsidRPr="002F26F7">
              <w:rPr>
                <w:rStyle w:val="Hipercze"/>
              </w:rPr>
              <w:t>Wprowadzenie</w:t>
            </w:r>
            <w:r w:rsidR="005B0A5B">
              <w:rPr>
                <w:webHidden/>
              </w:rPr>
              <w:tab/>
            </w:r>
            <w:r w:rsidR="005B0A5B">
              <w:rPr>
                <w:webHidden/>
              </w:rPr>
              <w:fldChar w:fldCharType="begin"/>
            </w:r>
            <w:r w:rsidR="005B0A5B">
              <w:rPr>
                <w:webHidden/>
              </w:rPr>
              <w:instrText xml:space="preserve"> PAGEREF _Toc177046216 \h </w:instrText>
            </w:r>
            <w:r w:rsidR="005B0A5B">
              <w:rPr>
                <w:webHidden/>
              </w:rPr>
            </w:r>
            <w:r w:rsidR="005B0A5B">
              <w:rPr>
                <w:webHidden/>
              </w:rPr>
              <w:fldChar w:fldCharType="separate"/>
            </w:r>
            <w:r w:rsidR="008A31AB">
              <w:rPr>
                <w:webHidden/>
              </w:rPr>
              <w:t>4</w:t>
            </w:r>
            <w:r w:rsidR="005B0A5B">
              <w:rPr>
                <w:webHidden/>
              </w:rPr>
              <w:fldChar w:fldCharType="end"/>
            </w:r>
          </w:hyperlink>
        </w:p>
        <w:p w14:paraId="49164156" w14:textId="41EABBA6" w:rsidR="005B0A5B" w:rsidRDefault="005B0A5B">
          <w:pPr>
            <w:pStyle w:val="Spistreci2"/>
            <w:rPr>
              <w:rFonts w:cstheme="minorBidi"/>
              <w:noProof/>
              <w:kern w:val="2"/>
              <w14:ligatures w14:val="standardContextual"/>
            </w:rPr>
          </w:pPr>
          <w:hyperlink w:anchor="_Toc177046217" w:history="1">
            <w:r w:rsidRPr="002F26F7">
              <w:rPr>
                <w:rStyle w:val="Hipercze"/>
                <w:b/>
                <w:noProof/>
              </w:rPr>
              <w:t>1.</w:t>
            </w:r>
            <w:r>
              <w:rPr>
                <w:rFonts w:cstheme="minorBidi"/>
                <w:noProof/>
                <w:kern w:val="2"/>
                <w14:ligatures w14:val="standardContextual"/>
              </w:rPr>
              <w:tab/>
            </w:r>
            <w:r w:rsidRPr="002F26F7">
              <w:rPr>
                <w:rStyle w:val="Hipercze"/>
                <w:b/>
                <w:noProof/>
              </w:rPr>
              <w:t>Skróty i pojęcia stosowane w regulaminie</w:t>
            </w:r>
            <w:r>
              <w:rPr>
                <w:noProof/>
                <w:webHidden/>
              </w:rPr>
              <w:tab/>
            </w:r>
            <w:r>
              <w:rPr>
                <w:noProof/>
                <w:webHidden/>
              </w:rPr>
              <w:fldChar w:fldCharType="begin"/>
            </w:r>
            <w:r>
              <w:rPr>
                <w:noProof/>
                <w:webHidden/>
              </w:rPr>
              <w:instrText xml:space="preserve"> PAGEREF _Toc177046217 \h </w:instrText>
            </w:r>
            <w:r>
              <w:rPr>
                <w:noProof/>
                <w:webHidden/>
              </w:rPr>
            </w:r>
            <w:r>
              <w:rPr>
                <w:noProof/>
                <w:webHidden/>
              </w:rPr>
              <w:fldChar w:fldCharType="separate"/>
            </w:r>
            <w:r w:rsidR="008A31AB">
              <w:rPr>
                <w:noProof/>
                <w:webHidden/>
              </w:rPr>
              <w:t>4</w:t>
            </w:r>
            <w:r>
              <w:rPr>
                <w:noProof/>
                <w:webHidden/>
              </w:rPr>
              <w:fldChar w:fldCharType="end"/>
            </w:r>
          </w:hyperlink>
        </w:p>
        <w:p w14:paraId="75D54DB7" w14:textId="4ED4858F" w:rsidR="005B0A5B" w:rsidRDefault="005B0A5B">
          <w:pPr>
            <w:pStyle w:val="Spistreci2"/>
            <w:rPr>
              <w:rFonts w:cstheme="minorBidi"/>
              <w:noProof/>
              <w:kern w:val="2"/>
              <w14:ligatures w14:val="standardContextual"/>
            </w:rPr>
          </w:pPr>
          <w:hyperlink w:anchor="_Toc177046218" w:history="1">
            <w:r w:rsidRPr="002F26F7">
              <w:rPr>
                <w:rStyle w:val="Hipercze"/>
                <w:b/>
                <w:noProof/>
              </w:rPr>
              <w:t>2.</w:t>
            </w:r>
            <w:r>
              <w:rPr>
                <w:rFonts w:cstheme="minorBidi"/>
                <w:noProof/>
                <w:kern w:val="2"/>
                <w14:ligatures w14:val="standardContextual"/>
              </w:rPr>
              <w:tab/>
            </w:r>
            <w:r w:rsidRPr="002F26F7">
              <w:rPr>
                <w:rStyle w:val="Hipercze"/>
                <w:b/>
                <w:noProof/>
              </w:rPr>
              <w:t>Informacje wstępne</w:t>
            </w:r>
            <w:r>
              <w:rPr>
                <w:noProof/>
                <w:webHidden/>
              </w:rPr>
              <w:tab/>
            </w:r>
            <w:r>
              <w:rPr>
                <w:noProof/>
                <w:webHidden/>
              </w:rPr>
              <w:fldChar w:fldCharType="begin"/>
            </w:r>
            <w:r>
              <w:rPr>
                <w:noProof/>
                <w:webHidden/>
              </w:rPr>
              <w:instrText xml:space="preserve"> PAGEREF _Toc177046218 \h </w:instrText>
            </w:r>
            <w:r>
              <w:rPr>
                <w:noProof/>
                <w:webHidden/>
              </w:rPr>
            </w:r>
            <w:r>
              <w:rPr>
                <w:noProof/>
                <w:webHidden/>
              </w:rPr>
              <w:fldChar w:fldCharType="separate"/>
            </w:r>
            <w:r w:rsidR="008A31AB">
              <w:rPr>
                <w:noProof/>
                <w:webHidden/>
              </w:rPr>
              <w:t>7</w:t>
            </w:r>
            <w:r>
              <w:rPr>
                <w:noProof/>
                <w:webHidden/>
              </w:rPr>
              <w:fldChar w:fldCharType="end"/>
            </w:r>
          </w:hyperlink>
        </w:p>
        <w:p w14:paraId="13135EA5" w14:textId="7BDF58A2" w:rsidR="005B0A5B" w:rsidRDefault="005B0A5B">
          <w:pPr>
            <w:pStyle w:val="Spistreci2"/>
            <w:rPr>
              <w:rFonts w:cstheme="minorBidi"/>
              <w:noProof/>
              <w:kern w:val="2"/>
              <w14:ligatures w14:val="standardContextual"/>
            </w:rPr>
          </w:pPr>
          <w:hyperlink w:anchor="_Toc177046219" w:history="1">
            <w:r w:rsidRPr="002F26F7">
              <w:rPr>
                <w:rStyle w:val="Hipercze"/>
                <w:rFonts w:ascii="Calibri Light" w:hAnsi="Calibri Light" w:cs="Calibri Light"/>
                <w:b/>
                <w:noProof/>
              </w:rPr>
              <w:t>3.</w:t>
            </w:r>
            <w:r>
              <w:rPr>
                <w:rFonts w:cstheme="minorBidi"/>
                <w:noProof/>
                <w:kern w:val="2"/>
                <w14:ligatures w14:val="standardContextual"/>
              </w:rPr>
              <w:tab/>
            </w:r>
            <w:r w:rsidRPr="002F26F7">
              <w:rPr>
                <w:rStyle w:val="Hipercze"/>
                <w:rFonts w:ascii="Calibri Light" w:hAnsi="Calibri Light" w:cs="Calibri Light"/>
                <w:b/>
                <w:noProof/>
              </w:rPr>
              <w:t xml:space="preserve">Informacje </w:t>
            </w:r>
            <w:r w:rsidRPr="002F26F7">
              <w:rPr>
                <w:rStyle w:val="Hipercze"/>
                <w:b/>
                <w:noProof/>
              </w:rPr>
              <w:t>dotyczące</w:t>
            </w:r>
            <w:r w:rsidRPr="002F26F7">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_Toc177046219 \h </w:instrText>
            </w:r>
            <w:r>
              <w:rPr>
                <w:noProof/>
                <w:webHidden/>
              </w:rPr>
            </w:r>
            <w:r>
              <w:rPr>
                <w:noProof/>
                <w:webHidden/>
              </w:rPr>
              <w:fldChar w:fldCharType="separate"/>
            </w:r>
            <w:r w:rsidR="008A31AB">
              <w:rPr>
                <w:noProof/>
                <w:webHidden/>
              </w:rPr>
              <w:t>8</w:t>
            </w:r>
            <w:r>
              <w:rPr>
                <w:noProof/>
                <w:webHidden/>
              </w:rPr>
              <w:fldChar w:fldCharType="end"/>
            </w:r>
          </w:hyperlink>
        </w:p>
        <w:p w14:paraId="6922887A" w14:textId="4377BF59" w:rsidR="005B0A5B" w:rsidRDefault="005B0A5B">
          <w:pPr>
            <w:pStyle w:val="Spistreci2"/>
            <w:rPr>
              <w:rFonts w:cstheme="minorBidi"/>
              <w:noProof/>
              <w:kern w:val="2"/>
              <w14:ligatures w14:val="standardContextual"/>
            </w:rPr>
          </w:pPr>
          <w:hyperlink w:anchor="_Toc177046220" w:history="1">
            <w:r w:rsidRPr="002F26F7">
              <w:rPr>
                <w:rStyle w:val="Hipercze"/>
                <w:b/>
                <w:noProof/>
              </w:rPr>
              <w:t>4.</w:t>
            </w:r>
            <w:r>
              <w:rPr>
                <w:rFonts w:cstheme="minorBidi"/>
                <w:noProof/>
                <w:kern w:val="2"/>
                <w14:ligatures w14:val="standardContextual"/>
              </w:rPr>
              <w:tab/>
            </w:r>
            <w:r w:rsidRPr="002F26F7">
              <w:rPr>
                <w:rStyle w:val="Hipercze"/>
                <w:b/>
                <w:noProof/>
              </w:rPr>
              <w:t>Podstawy prawne i dokumenty programowe</w:t>
            </w:r>
            <w:r>
              <w:rPr>
                <w:noProof/>
                <w:webHidden/>
              </w:rPr>
              <w:tab/>
            </w:r>
            <w:r>
              <w:rPr>
                <w:noProof/>
                <w:webHidden/>
              </w:rPr>
              <w:fldChar w:fldCharType="begin"/>
            </w:r>
            <w:r>
              <w:rPr>
                <w:noProof/>
                <w:webHidden/>
              </w:rPr>
              <w:instrText xml:space="preserve"> PAGEREF _Toc177046220 \h </w:instrText>
            </w:r>
            <w:r>
              <w:rPr>
                <w:noProof/>
                <w:webHidden/>
              </w:rPr>
            </w:r>
            <w:r>
              <w:rPr>
                <w:noProof/>
                <w:webHidden/>
              </w:rPr>
              <w:fldChar w:fldCharType="separate"/>
            </w:r>
            <w:r w:rsidR="008A31AB">
              <w:rPr>
                <w:noProof/>
                <w:webHidden/>
              </w:rPr>
              <w:t>9</w:t>
            </w:r>
            <w:r>
              <w:rPr>
                <w:noProof/>
                <w:webHidden/>
              </w:rPr>
              <w:fldChar w:fldCharType="end"/>
            </w:r>
          </w:hyperlink>
        </w:p>
        <w:p w14:paraId="6CDA946C" w14:textId="2F473711" w:rsidR="005B0A5B" w:rsidRDefault="005B0A5B">
          <w:pPr>
            <w:pStyle w:val="Spistreci2"/>
            <w:rPr>
              <w:rFonts w:cstheme="minorBidi"/>
              <w:noProof/>
              <w:kern w:val="2"/>
              <w14:ligatures w14:val="standardContextual"/>
            </w:rPr>
          </w:pPr>
          <w:hyperlink w:anchor="_Toc177046221" w:history="1">
            <w:r w:rsidRPr="002F26F7">
              <w:rPr>
                <w:rStyle w:val="Hipercze"/>
                <w:b/>
                <w:noProof/>
              </w:rPr>
              <w:t>5.</w:t>
            </w:r>
            <w:r>
              <w:rPr>
                <w:rFonts w:cstheme="minorBidi"/>
                <w:noProof/>
                <w:kern w:val="2"/>
                <w14:ligatures w14:val="standardContextual"/>
              </w:rPr>
              <w:tab/>
            </w:r>
            <w:r w:rsidRPr="002F26F7">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_Toc177046221 \h </w:instrText>
            </w:r>
            <w:r>
              <w:rPr>
                <w:noProof/>
                <w:webHidden/>
              </w:rPr>
            </w:r>
            <w:r>
              <w:rPr>
                <w:noProof/>
                <w:webHidden/>
              </w:rPr>
              <w:fldChar w:fldCharType="separate"/>
            </w:r>
            <w:r w:rsidR="008A31AB">
              <w:rPr>
                <w:noProof/>
                <w:webHidden/>
              </w:rPr>
              <w:t>11</w:t>
            </w:r>
            <w:r>
              <w:rPr>
                <w:noProof/>
                <w:webHidden/>
              </w:rPr>
              <w:fldChar w:fldCharType="end"/>
            </w:r>
          </w:hyperlink>
        </w:p>
        <w:p w14:paraId="187CE6DA" w14:textId="1E1C0B41" w:rsidR="005B0A5B" w:rsidRDefault="005B0A5B">
          <w:pPr>
            <w:pStyle w:val="Spistreci2"/>
            <w:rPr>
              <w:rFonts w:cstheme="minorBidi"/>
              <w:noProof/>
              <w:kern w:val="2"/>
              <w14:ligatures w14:val="standardContextual"/>
            </w:rPr>
          </w:pPr>
          <w:hyperlink w:anchor="_Toc177046222" w:history="1">
            <w:r w:rsidRPr="002F26F7">
              <w:rPr>
                <w:rStyle w:val="Hipercze"/>
                <w:rFonts w:eastAsia="Times New Roman"/>
                <w:b/>
                <w:noProof/>
              </w:rPr>
              <w:t>6.</w:t>
            </w:r>
            <w:r>
              <w:rPr>
                <w:rFonts w:cstheme="minorBidi"/>
                <w:noProof/>
                <w:kern w:val="2"/>
                <w14:ligatures w14:val="standardContextual"/>
              </w:rPr>
              <w:tab/>
            </w:r>
            <w:r w:rsidRPr="002F26F7">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_Toc177046222 \h </w:instrText>
            </w:r>
            <w:r>
              <w:rPr>
                <w:noProof/>
                <w:webHidden/>
              </w:rPr>
            </w:r>
            <w:r>
              <w:rPr>
                <w:noProof/>
                <w:webHidden/>
              </w:rPr>
              <w:fldChar w:fldCharType="separate"/>
            </w:r>
            <w:r w:rsidR="008A31AB">
              <w:rPr>
                <w:noProof/>
                <w:webHidden/>
              </w:rPr>
              <w:t>12</w:t>
            </w:r>
            <w:r>
              <w:rPr>
                <w:noProof/>
                <w:webHidden/>
              </w:rPr>
              <w:fldChar w:fldCharType="end"/>
            </w:r>
          </w:hyperlink>
        </w:p>
        <w:p w14:paraId="0AB0F72A" w14:textId="36414411" w:rsidR="005B0A5B" w:rsidRDefault="005B0A5B">
          <w:pPr>
            <w:pStyle w:val="Spistreci1"/>
            <w:rPr>
              <w:rFonts w:eastAsiaTheme="minorEastAsia" w:cstheme="minorBidi"/>
              <w:b w:val="0"/>
              <w:kern w:val="2"/>
              <w:sz w:val="22"/>
              <w:szCs w:val="22"/>
              <w14:ligatures w14:val="standardContextual"/>
            </w:rPr>
          </w:pPr>
          <w:hyperlink w:anchor="_Toc177046223" w:history="1">
            <w:r w:rsidRPr="002F26F7">
              <w:rPr>
                <w:rStyle w:val="Hipercze"/>
              </w:rPr>
              <w:t>II.</w:t>
            </w:r>
            <w:r>
              <w:rPr>
                <w:rFonts w:eastAsiaTheme="minorEastAsia" w:cstheme="minorBidi"/>
                <w:b w:val="0"/>
                <w:kern w:val="2"/>
                <w:sz w:val="22"/>
                <w:szCs w:val="22"/>
                <w14:ligatures w14:val="standardContextual"/>
              </w:rPr>
              <w:tab/>
            </w:r>
            <w:r w:rsidRPr="002F26F7">
              <w:rPr>
                <w:rStyle w:val="Hipercze"/>
              </w:rPr>
              <w:t>Zasady postępowania konkurencyjnego</w:t>
            </w:r>
            <w:r>
              <w:rPr>
                <w:webHidden/>
              </w:rPr>
              <w:tab/>
            </w:r>
            <w:r>
              <w:rPr>
                <w:webHidden/>
              </w:rPr>
              <w:fldChar w:fldCharType="begin"/>
            </w:r>
            <w:r>
              <w:rPr>
                <w:webHidden/>
              </w:rPr>
              <w:instrText xml:space="preserve"> PAGEREF _Toc177046223 \h </w:instrText>
            </w:r>
            <w:r>
              <w:rPr>
                <w:webHidden/>
              </w:rPr>
            </w:r>
            <w:r>
              <w:rPr>
                <w:webHidden/>
              </w:rPr>
              <w:fldChar w:fldCharType="separate"/>
            </w:r>
            <w:r w:rsidR="008A31AB">
              <w:rPr>
                <w:webHidden/>
              </w:rPr>
              <w:t>13</w:t>
            </w:r>
            <w:r>
              <w:rPr>
                <w:webHidden/>
              </w:rPr>
              <w:fldChar w:fldCharType="end"/>
            </w:r>
          </w:hyperlink>
        </w:p>
        <w:p w14:paraId="4206C20D" w14:textId="2162E397" w:rsidR="005B0A5B" w:rsidRDefault="005B0A5B">
          <w:pPr>
            <w:pStyle w:val="Spistreci2"/>
            <w:rPr>
              <w:rFonts w:cstheme="minorBidi"/>
              <w:noProof/>
              <w:kern w:val="2"/>
              <w14:ligatures w14:val="standardContextual"/>
            </w:rPr>
          </w:pPr>
          <w:hyperlink w:anchor="_Toc177046224" w:history="1">
            <w:r w:rsidRPr="002F26F7">
              <w:rPr>
                <w:rStyle w:val="Hipercze"/>
                <w:rFonts w:eastAsia="Times New Roman" w:cstheme="minorHAnsi"/>
                <w:b/>
                <w:noProof/>
              </w:rPr>
              <w:t>7.</w:t>
            </w:r>
            <w:r>
              <w:rPr>
                <w:rFonts w:cstheme="minorBidi"/>
                <w:noProof/>
                <w:kern w:val="2"/>
                <w14:ligatures w14:val="standardContextual"/>
              </w:rPr>
              <w:tab/>
            </w:r>
            <w:r w:rsidRPr="002F26F7">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_Toc177046224 \h </w:instrText>
            </w:r>
            <w:r>
              <w:rPr>
                <w:noProof/>
                <w:webHidden/>
              </w:rPr>
            </w:r>
            <w:r>
              <w:rPr>
                <w:noProof/>
                <w:webHidden/>
              </w:rPr>
              <w:fldChar w:fldCharType="separate"/>
            </w:r>
            <w:r w:rsidR="008A31AB">
              <w:rPr>
                <w:noProof/>
                <w:webHidden/>
              </w:rPr>
              <w:t>13</w:t>
            </w:r>
            <w:r>
              <w:rPr>
                <w:noProof/>
                <w:webHidden/>
              </w:rPr>
              <w:fldChar w:fldCharType="end"/>
            </w:r>
          </w:hyperlink>
        </w:p>
        <w:p w14:paraId="184F449E" w14:textId="04747BBB" w:rsidR="005B0A5B" w:rsidRDefault="005B0A5B">
          <w:pPr>
            <w:pStyle w:val="Spistreci2"/>
            <w:rPr>
              <w:rFonts w:cstheme="minorBidi"/>
              <w:noProof/>
              <w:kern w:val="2"/>
              <w14:ligatures w14:val="standardContextual"/>
            </w:rPr>
          </w:pPr>
          <w:hyperlink w:anchor="_Toc177046225" w:history="1">
            <w:r w:rsidRPr="002F26F7">
              <w:rPr>
                <w:rStyle w:val="Hipercze"/>
                <w:b/>
                <w:noProof/>
              </w:rPr>
              <w:t>8.</w:t>
            </w:r>
            <w:r>
              <w:rPr>
                <w:rFonts w:cstheme="minorBidi"/>
                <w:noProof/>
                <w:kern w:val="2"/>
                <w14:ligatures w14:val="standardContextual"/>
              </w:rPr>
              <w:tab/>
            </w:r>
            <w:r w:rsidRPr="002F26F7">
              <w:rPr>
                <w:rStyle w:val="Hipercze"/>
                <w:b/>
                <w:noProof/>
              </w:rPr>
              <w:t>Typ beneficjenta</w:t>
            </w:r>
            <w:r>
              <w:rPr>
                <w:noProof/>
                <w:webHidden/>
              </w:rPr>
              <w:tab/>
            </w:r>
            <w:r>
              <w:rPr>
                <w:noProof/>
                <w:webHidden/>
              </w:rPr>
              <w:fldChar w:fldCharType="begin"/>
            </w:r>
            <w:r>
              <w:rPr>
                <w:noProof/>
                <w:webHidden/>
              </w:rPr>
              <w:instrText xml:space="preserve"> PAGEREF _Toc177046225 \h </w:instrText>
            </w:r>
            <w:r>
              <w:rPr>
                <w:noProof/>
                <w:webHidden/>
              </w:rPr>
            </w:r>
            <w:r>
              <w:rPr>
                <w:noProof/>
                <w:webHidden/>
              </w:rPr>
              <w:fldChar w:fldCharType="separate"/>
            </w:r>
            <w:r w:rsidR="008A31AB">
              <w:rPr>
                <w:noProof/>
                <w:webHidden/>
              </w:rPr>
              <w:t>14</w:t>
            </w:r>
            <w:r>
              <w:rPr>
                <w:noProof/>
                <w:webHidden/>
              </w:rPr>
              <w:fldChar w:fldCharType="end"/>
            </w:r>
          </w:hyperlink>
        </w:p>
        <w:p w14:paraId="34081759" w14:textId="4A98CFD0" w:rsidR="005B0A5B" w:rsidRDefault="005B0A5B">
          <w:pPr>
            <w:pStyle w:val="Spistreci2"/>
            <w:rPr>
              <w:rFonts w:cstheme="minorBidi"/>
              <w:noProof/>
              <w:kern w:val="2"/>
              <w14:ligatures w14:val="standardContextual"/>
            </w:rPr>
          </w:pPr>
          <w:hyperlink w:anchor="_Toc177046226" w:history="1">
            <w:r w:rsidRPr="002F26F7">
              <w:rPr>
                <w:rStyle w:val="Hipercze"/>
                <w:b/>
                <w:noProof/>
              </w:rPr>
              <w:t>9.</w:t>
            </w:r>
            <w:r>
              <w:rPr>
                <w:rFonts w:cstheme="minorBidi"/>
                <w:noProof/>
                <w:kern w:val="2"/>
                <w14:ligatures w14:val="standardContextual"/>
              </w:rPr>
              <w:tab/>
            </w:r>
            <w:r w:rsidRPr="002F26F7">
              <w:rPr>
                <w:rStyle w:val="Hipercze"/>
                <w:b/>
                <w:noProof/>
              </w:rPr>
              <w:t>Grupa docelowa</w:t>
            </w:r>
            <w:r>
              <w:rPr>
                <w:noProof/>
                <w:webHidden/>
              </w:rPr>
              <w:tab/>
            </w:r>
            <w:r>
              <w:rPr>
                <w:noProof/>
                <w:webHidden/>
              </w:rPr>
              <w:fldChar w:fldCharType="begin"/>
            </w:r>
            <w:r>
              <w:rPr>
                <w:noProof/>
                <w:webHidden/>
              </w:rPr>
              <w:instrText xml:space="preserve"> PAGEREF _Toc177046226 \h </w:instrText>
            </w:r>
            <w:r>
              <w:rPr>
                <w:noProof/>
                <w:webHidden/>
              </w:rPr>
            </w:r>
            <w:r>
              <w:rPr>
                <w:noProof/>
                <w:webHidden/>
              </w:rPr>
              <w:fldChar w:fldCharType="separate"/>
            </w:r>
            <w:r w:rsidR="008A31AB">
              <w:rPr>
                <w:noProof/>
                <w:webHidden/>
              </w:rPr>
              <w:t>15</w:t>
            </w:r>
            <w:r>
              <w:rPr>
                <w:noProof/>
                <w:webHidden/>
              </w:rPr>
              <w:fldChar w:fldCharType="end"/>
            </w:r>
          </w:hyperlink>
        </w:p>
        <w:p w14:paraId="357482C8" w14:textId="061E5D36" w:rsidR="005B0A5B" w:rsidRDefault="005B0A5B">
          <w:pPr>
            <w:pStyle w:val="Spistreci2"/>
            <w:rPr>
              <w:rFonts w:cstheme="minorBidi"/>
              <w:noProof/>
              <w:kern w:val="2"/>
              <w14:ligatures w14:val="standardContextual"/>
            </w:rPr>
          </w:pPr>
          <w:hyperlink w:anchor="_Toc177046227" w:history="1">
            <w:r w:rsidRPr="002F26F7">
              <w:rPr>
                <w:rStyle w:val="Hipercze"/>
                <w:b/>
                <w:noProof/>
              </w:rPr>
              <w:t>10.</w:t>
            </w:r>
            <w:r>
              <w:rPr>
                <w:rFonts w:cstheme="minorBidi"/>
                <w:noProof/>
                <w:kern w:val="2"/>
                <w14:ligatures w14:val="standardContextual"/>
              </w:rPr>
              <w:tab/>
            </w:r>
            <w:r w:rsidRPr="002F26F7">
              <w:rPr>
                <w:rStyle w:val="Hipercze"/>
                <w:b/>
                <w:noProof/>
              </w:rPr>
              <w:t>Warunki realizacji projektów</w:t>
            </w:r>
            <w:r>
              <w:rPr>
                <w:noProof/>
                <w:webHidden/>
              </w:rPr>
              <w:tab/>
            </w:r>
            <w:r>
              <w:rPr>
                <w:noProof/>
                <w:webHidden/>
              </w:rPr>
              <w:fldChar w:fldCharType="begin"/>
            </w:r>
            <w:r>
              <w:rPr>
                <w:noProof/>
                <w:webHidden/>
              </w:rPr>
              <w:instrText xml:space="preserve"> PAGEREF _Toc177046227 \h </w:instrText>
            </w:r>
            <w:r>
              <w:rPr>
                <w:noProof/>
                <w:webHidden/>
              </w:rPr>
            </w:r>
            <w:r>
              <w:rPr>
                <w:noProof/>
                <w:webHidden/>
              </w:rPr>
              <w:fldChar w:fldCharType="separate"/>
            </w:r>
            <w:r w:rsidR="008A31AB">
              <w:rPr>
                <w:noProof/>
                <w:webHidden/>
              </w:rPr>
              <w:t>15</w:t>
            </w:r>
            <w:r>
              <w:rPr>
                <w:noProof/>
                <w:webHidden/>
              </w:rPr>
              <w:fldChar w:fldCharType="end"/>
            </w:r>
          </w:hyperlink>
        </w:p>
        <w:p w14:paraId="51C9F724" w14:textId="5EE44CED" w:rsidR="005B0A5B" w:rsidRDefault="005B0A5B">
          <w:pPr>
            <w:pStyle w:val="Spistreci2"/>
            <w:rPr>
              <w:rFonts w:cstheme="minorBidi"/>
              <w:noProof/>
              <w:kern w:val="2"/>
              <w14:ligatures w14:val="standardContextual"/>
            </w:rPr>
          </w:pPr>
          <w:hyperlink w:anchor="_Toc177046228" w:history="1">
            <w:r w:rsidRPr="002F26F7">
              <w:rPr>
                <w:rStyle w:val="Hipercze"/>
                <w:b/>
                <w:noProof/>
              </w:rPr>
              <w:t>11.</w:t>
            </w:r>
            <w:r>
              <w:rPr>
                <w:rFonts w:cstheme="minorBidi"/>
                <w:noProof/>
                <w:kern w:val="2"/>
                <w14:ligatures w14:val="standardContextual"/>
              </w:rPr>
              <w:tab/>
            </w:r>
            <w:r w:rsidRPr="002F26F7">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_Toc177046228 \h </w:instrText>
            </w:r>
            <w:r>
              <w:rPr>
                <w:noProof/>
                <w:webHidden/>
              </w:rPr>
            </w:r>
            <w:r>
              <w:rPr>
                <w:noProof/>
                <w:webHidden/>
              </w:rPr>
              <w:fldChar w:fldCharType="separate"/>
            </w:r>
            <w:r w:rsidR="008A31AB">
              <w:rPr>
                <w:noProof/>
                <w:webHidden/>
              </w:rPr>
              <w:t>17</w:t>
            </w:r>
            <w:r>
              <w:rPr>
                <w:noProof/>
                <w:webHidden/>
              </w:rPr>
              <w:fldChar w:fldCharType="end"/>
            </w:r>
          </w:hyperlink>
        </w:p>
        <w:p w14:paraId="4C1AFAAB" w14:textId="0F19FB74" w:rsidR="005B0A5B" w:rsidRDefault="005B0A5B">
          <w:pPr>
            <w:pStyle w:val="Spistreci2"/>
            <w:rPr>
              <w:rFonts w:cstheme="minorBidi"/>
              <w:noProof/>
              <w:kern w:val="2"/>
              <w14:ligatures w14:val="standardContextual"/>
            </w:rPr>
          </w:pPr>
          <w:hyperlink w:anchor="_Toc177046229" w:history="1">
            <w:r w:rsidRPr="002F26F7">
              <w:rPr>
                <w:rStyle w:val="Hipercze"/>
                <w:rFonts w:eastAsia="Times New Roman"/>
                <w:b/>
                <w:noProof/>
              </w:rPr>
              <w:t>12.</w:t>
            </w:r>
            <w:r>
              <w:rPr>
                <w:rFonts w:cstheme="minorBidi"/>
                <w:noProof/>
                <w:kern w:val="2"/>
                <w14:ligatures w14:val="standardContextual"/>
              </w:rPr>
              <w:tab/>
            </w:r>
            <w:r w:rsidRPr="002F26F7">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_Toc177046229 \h </w:instrText>
            </w:r>
            <w:r>
              <w:rPr>
                <w:noProof/>
                <w:webHidden/>
              </w:rPr>
            </w:r>
            <w:r>
              <w:rPr>
                <w:noProof/>
                <w:webHidden/>
              </w:rPr>
              <w:fldChar w:fldCharType="separate"/>
            </w:r>
            <w:r w:rsidR="008A31AB">
              <w:rPr>
                <w:noProof/>
                <w:webHidden/>
              </w:rPr>
              <w:t>18</w:t>
            </w:r>
            <w:r>
              <w:rPr>
                <w:noProof/>
                <w:webHidden/>
              </w:rPr>
              <w:fldChar w:fldCharType="end"/>
            </w:r>
          </w:hyperlink>
        </w:p>
        <w:p w14:paraId="420F3CC0" w14:textId="430ABCD5" w:rsidR="005B0A5B" w:rsidRDefault="005B0A5B">
          <w:pPr>
            <w:pStyle w:val="Spistreci2"/>
            <w:rPr>
              <w:rFonts w:cstheme="minorBidi"/>
              <w:noProof/>
              <w:kern w:val="2"/>
              <w14:ligatures w14:val="standardContextual"/>
            </w:rPr>
          </w:pPr>
          <w:hyperlink w:anchor="_Toc177046230" w:history="1">
            <w:r w:rsidRPr="002F26F7">
              <w:rPr>
                <w:rStyle w:val="Hipercze"/>
                <w:b/>
                <w:noProof/>
              </w:rPr>
              <w:t>13.</w:t>
            </w:r>
            <w:r>
              <w:rPr>
                <w:rFonts w:cstheme="minorBidi"/>
                <w:noProof/>
                <w:kern w:val="2"/>
                <w14:ligatures w14:val="standardContextual"/>
              </w:rPr>
              <w:tab/>
            </w:r>
            <w:r w:rsidRPr="002F26F7">
              <w:rPr>
                <w:rStyle w:val="Hipercze"/>
                <w:b/>
                <w:noProof/>
              </w:rPr>
              <w:t>Opis procedury oceny projektów</w:t>
            </w:r>
            <w:r>
              <w:rPr>
                <w:noProof/>
                <w:webHidden/>
              </w:rPr>
              <w:tab/>
            </w:r>
            <w:r>
              <w:rPr>
                <w:noProof/>
                <w:webHidden/>
              </w:rPr>
              <w:fldChar w:fldCharType="begin"/>
            </w:r>
            <w:r>
              <w:rPr>
                <w:noProof/>
                <w:webHidden/>
              </w:rPr>
              <w:instrText xml:space="preserve"> PAGEREF _Toc177046230 \h </w:instrText>
            </w:r>
            <w:r>
              <w:rPr>
                <w:noProof/>
                <w:webHidden/>
              </w:rPr>
            </w:r>
            <w:r>
              <w:rPr>
                <w:noProof/>
                <w:webHidden/>
              </w:rPr>
              <w:fldChar w:fldCharType="separate"/>
            </w:r>
            <w:r w:rsidR="008A31AB">
              <w:rPr>
                <w:noProof/>
                <w:webHidden/>
              </w:rPr>
              <w:t>18</w:t>
            </w:r>
            <w:r>
              <w:rPr>
                <w:noProof/>
                <w:webHidden/>
              </w:rPr>
              <w:fldChar w:fldCharType="end"/>
            </w:r>
          </w:hyperlink>
        </w:p>
        <w:p w14:paraId="5D9A684A" w14:textId="16616655" w:rsidR="005B0A5B" w:rsidRDefault="005B0A5B">
          <w:pPr>
            <w:pStyle w:val="Spistreci2"/>
            <w:rPr>
              <w:rFonts w:cstheme="minorBidi"/>
              <w:noProof/>
              <w:kern w:val="2"/>
              <w14:ligatures w14:val="standardContextual"/>
            </w:rPr>
          </w:pPr>
          <w:hyperlink w:anchor="_Toc177046231" w:history="1">
            <w:r w:rsidRPr="002F26F7">
              <w:rPr>
                <w:rStyle w:val="Hipercze"/>
                <w:b/>
                <w:noProof/>
              </w:rPr>
              <w:t>13.1</w:t>
            </w:r>
            <w:r>
              <w:rPr>
                <w:rFonts w:cstheme="minorBidi"/>
                <w:noProof/>
                <w:kern w:val="2"/>
                <w14:ligatures w14:val="standardContextual"/>
              </w:rPr>
              <w:tab/>
            </w:r>
            <w:r w:rsidRPr="002F26F7">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_Toc177046231 \h </w:instrText>
            </w:r>
            <w:r>
              <w:rPr>
                <w:noProof/>
                <w:webHidden/>
              </w:rPr>
            </w:r>
            <w:r>
              <w:rPr>
                <w:noProof/>
                <w:webHidden/>
              </w:rPr>
              <w:fldChar w:fldCharType="separate"/>
            </w:r>
            <w:r w:rsidR="008A31AB">
              <w:rPr>
                <w:noProof/>
                <w:webHidden/>
              </w:rPr>
              <w:t>18</w:t>
            </w:r>
            <w:r>
              <w:rPr>
                <w:noProof/>
                <w:webHidden/>
              </w:rPr>
              <w:fldChar w:fldCharType="end"/>
            </w:r>
          </w:hyperlink>
        </w:p>
        <w:p w14:paraId="079FD739" w14:textId="3640C2B6" w:rsidR="005B0A5B" w:rsidRDefault="005B0A5B">
          <w:pPr>
            <w:pStyle w:val="Spistreci2"/>
            <w:rPr>
              <w:rFonts w:cstheme="minorBidi"/>
              <w:noProof/>
              <w:kern w:val="2"/>
              <w14:ligatures w14:val="standardContextual"/>
            </w:rPr>
          </w:pPr>
          <w:hyperlink w:anchor="_Toc177046232" w:history="1">
            <w:r w:rsidRPr="002F26F7">
              <w:rPr>
                <w:rStyle w:val="Hipercze"/>
                <w:b/>
                <w:noProof/>
              </w:rPr>
              <w:t>13.2</w:t>
            </w:r>
            <w:r>
              <w:rPr>
                <w:rFonts w:cstheme="minorBidi"/>
                <w:noProof/>
                <w:kern w:val="2"/>
                <w14:ligatures w14:val="standardContextual"/>
              </w:rPr>
              <w:tab/>
            </w:r>
            <w:r w:rsidRPr="002F26F7">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_Toc177046232 \h </w:instrText>
            </w:r>
            <w:r>
              <w:rPr>
                <w:noProof/>
                <w:webHidden/>
              </w:rPr>
            </w:r>
            <w:r>
              <w:rPr>
                <w:noProof/>
                <w:webHidden/>
              </w:rPr>
              <w:fldChar w:fldCharType="separate"/>
            </w:r>
            <w:r w:rsidR="008A31AB">
              <w:rPr>
                <w:noProof/>
                <w:webHidden/>
              </w:rPr>
              <w:t>20</w:t>
            </w:r>
            <w:r>
              <w:rPr>
                <w:noProof/>
                <w:webHidden/>
              </w:rPr>
              <w:fldChar w:fldCharType="end"/>
            </w:r>
          </w:hyperlink>
        </w:p>
        <w:p w14:paraId="1A104E3F" w14:textId="1B81F122" w:rsidR="005B0A5B" w:rsidRDefault="005B0A5B">
          <w:pPr>
            <w:pStyle w:val="Spistreci2"/>
            <w:rPr>
              <w:rFonts w:cstheme="minorBidi"/>
              <w:noProof/>
              <w:kern w:val="2"/>
              <w14:ligatures w14:val="standardContextual"/>
            </w:rPr>
          </w:pPr>
          <w:hyperlink w:anchor="_Toc177046233" w:history="1">
            <w:r w:rsidRPr="002F26F7">
              <w:rPr>
                <w:rStyle w:val="Hipercze"/>
                <w:b/>
                <w:noProof/>
              </w:rPr>
              <w:t>13.3</w:t>
            </w:r>
            <w:r>
              <w:rPr>
                <w:rFonts w:cstheme="minorBidi"/>
                <w:noProof/>
                <w:kern w:val="2"/>
                <w14:ligatures w14:val="standardContextual"/>
              </w:rPr>
              <w:tab/>
            </w:r>
            <w:r w:rsidRPr="002F26F7">
              <w:rPr>
                <w:rStyle w:val="Hipercze"/>
                <w:b/>
                <w:noProof/>
              </w:rPr>
              <w:t>Sposób komunikacji między wnioskodawcą a IP</w:t>
            </w:r>
            <w:r>
              <w:rPr>
                <w:noProof/>
                <w:webHidden/>
              </w:rPr>
              <w:tab/>
            </w:r>
            <w:r>
              <w:rPr>
                <w:noProof/>
                <w:webHidden/>
              </w:rPr>
              <w:fldChar w:fldCharType="begin"/>
            </w:r>
            <w:r>
              <w:rPr>
                <w:noProof/>
                <w:webHidden/>
              </w:rPr>
              <w:instrText xml:space="preserve"> PAGEREF _Toc177046233 \h </w:instrText>
            </w:r>
            <w:r>
              <w:rPr>
                <w:noProof/>
                <w:webHidden/>
              </w:rPr>
            </w:r>
            <w:r>
              <w:rPr>
                <w:noProof/>
                <w:webHidden/>
              </w:rPr>
              <w:fldChar w:fldCharType="separate"/>
            </w:r>
            <w:r w:rsidR="008A31AB">
              <w:rPr>
                <w:noProof/>
                <w:webHidden/>
              </w:rPr>
              <w:t>21</w:t>
            </w:r>
            <w:r>
              <w:rPr>
                <w:noProof/>
                <w:webHidden/>
              </w:rPr>
              <w:fldChar w:fldCharType="end"/>
            </w:r>
          </w:hyperlink>
        </w:p>
        <w:p w14:paraId="7E9684A0" w14:textId="5180AB40" w:rsidR="005B0A5B" w:rsidRDefault="005B0A5B">
          <w:pPr>
            <w:pStyle w:val="Spistreci2"/>
            <w:rPr>
              <w:rFonts w:cstheme="minorBidi"/>
              <w:noProof/>
              <w:kern w:val="2"/>
              <w14:ligatures w14:val="standardContextual"/>
            </w:rPr>
          </w:pPr>
          <w:hyperlink w:anchor="_Toc177046234" w:history="1">
            <w:r w:rsidRPr="002F26F7">
              <w:rPr>
                <w:rStyle w:val="Hipercze"/>
                <w:b/>
                <w:noProof/>
              </w:rPr>
              <w:t>13.4</w:t>
            </w:r>
            <w:r>
              <w:rPr>
                <w:rFonts w:cstheme="minorBidi"/>
                <w:noProof/>
                <w:kern w:val="2"/>
                <w14:ligatures w14:val="standardContextual"/>
              </w:rPr>
              <w:tab/>
            </w:r>
            <w:r w:rsidRPr="002F26F7">
              <w:rPr>
                <w:rStyle w:val="Hipercze"/>
                <w:b/>
                <w:noProof/>
              </w:rPr>
              <w:t>Kryteria wyboru projektów</w:t>
            </w:r>
            <w:r>
              <w:rPr>
                <w:noProof/>
                <w:webHidden/>
              </w:rPr>
              <w:tab/>
            </w:r>
            <w:r>
              <w:rPr>
                <w:noProof/>
                <w:webHidden/>
              </w:rPr>
              <w:fldChar w:fldCharType="begin"/>
            </w:r>
            <w:r>
              <w:rPr>
                <w:noProof/>
                <w:webHidden/>
              </w:rPr>
              <w:instrText xml:space="preserve"> PAGEREF _Toc177046234 \h </w:instrText>
            </w:r>
            <w:r>
              <w:rPr>
                <w:noProof/>
                <w:webHidden/>
              </w:rPr>
            </w:r>
            <w:r>
              <w:rPr>
                <w:noProof/>
                <w:webHidden/>
              </w:rPr>
              <w:fldChar w:fldCharType="separate"/>
            </w:r>
            <w:r w:rsidR="008A31AB">
              <w:rPr>
                <w:noProof/>
                <w:webHidden/>
              </w:rPr>
              <w:t>22</w:t>
            </w:r>
            <w:r>
              <w:rPr>
                <w:noProof/>
                <w:webHidden/>
              </w:rPr>
              <w:fldChar w:fldCharType="end"/>
            </w:r>
          </w:hyperlink>
        </w:p>
        <w:p w14:paraId="6F6AE1BD" w14:textId="34B4D87E" w:rsidR="005B0A5B" w:rsidRDefault="005B0A5B">
          <w:pPr>
            <w:pStyle w:val="Spistreci2"/>
            <w:rPr>
              <w:rFonts w:cstheme="minorBidi"/>
              <w:noProof/>
              <w:kern w:val="2"/>
              <w14:ligatures w14:val="standardContextual"/>
            </w:rPr>
          </w:pPr>
          <w:hyperlink w:anchor="_Toc177046235" w:history="1">
            <w:r w:rsidRPr="002F26F7">
              <w:rPr>
                <w:rStyle w:val="Hipercze"/>
                <w:b/>
                <w:noProof/>
              </w:rPr>
              <w:t>13.5</w:t>
            </w:r>
            <w:r>
              <w:rPr>
                <w:rFonts w:cstheme="minorBidi"/>
                <w:noProof/>
                <w:kern w:val="2"/>
                <w14:ligatures w14:val="standardContextual"/>
              </w:rPr>
              <w:tab/>
            </w:r>
            <w:r w:rsidRPr="002F26F7">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_Toc177046235 \h </w:instrText>
            </w:r>
            <w:r>
              <w:rPr>
                <w:noProof/>
                <w:webHidden/>
              </w:rPr>
            </w:r>
            <w:r>
              <w:rPr>
                <w:noProof/>
                <w:webHidden/>
              </w:rPr>
              <w:fldChar w:fldCharType="separate"/>
            </w:r>
            <w:r w:rsidR="008A31AB">
              <w:rPr>
                <w:noProof/>
                <w:webHidden/>
              </w:rPr>
              <w:t>24</w:t>
            </w:r>
            <w:r>
              <w:rPr>
                <w:noProof/>
                <w:webHidden/>
              </w:rPr>
              <w:fldChar w:fldCharType="end"/>
            </w:r>
          </w:hyperlink>
        </w:p>
        <w:p w14:paraId="7262F3FD" w14:textId="005A8FEA" w:rsidR="005B0A5B" w:rsidRDefault="005B0A5B">
          <w:pPr>
            <w:pStyle w:val="Spistreci2"/>
            <w:rPr>
              <w:rFonts w:cstheme="minorBidi"/>
              <w:noProof/>
              <w:kern w:val="2"/>
              <w14:ligatures w14:val="standardContextual"/>
            </w:rPr>
          </w:pPr>
          <w:hyperlink w:anchor="_Toc177046236" w:history="1">
            <w:r w:rsidRPr="002F26F7">
              <w:rPr>
                <w:rStyle w:val="Hipercze"/>
                <w:rFonts w:cstheme="minorHAnsi"/>
                <w:b/>
                <w:noProof/>
              </w:rPr>
              <w:t>14.</w:t>
            </w:r>
            <w:r>
              <w:rPr>
                <w:rFonts w:cstheme="minorBidi"/>
                <w:noProof/>
                <w:kern w:val="2"/>
                <w14:ligatures w14:val="standardContextual"/>
              </w:rPr>
              <w:tab/>
            </w:r>
            <w:r w:rsidRPr="002F26F7">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_Toc177046236 \h </w:instrText>
            </w:r>
            <w:r>
              <w:rPr>
                <w:noProof/>
                <w:webHidden/>
              </w:rPr>
            </w:r>
            <w:r>
              <w:rPr>
                <w:noProof/>
                <w:webHidden/>
              </w:rPr>
              <w:fldChar w:fldCharType="separate"/>
            </w:r>
            <w:r w:rsidR="008A31AB">
              <w:rPr>
                <w:noProof/>
                <w:webHidden/>
              </w:rPr>
              <w:t>26</w:t>
            </w:r>
            <w:r>
              <w:rPr>
                <w:noProof/>
                <w:webHidden/>
              </w:rPr>
              <w:fldChar w:fldCharType="end"/>
            </w:r>
          </w:hyperlink>
        </w:p>
        <w:p w14:paraId="59371324" w14:textId="1527FD69" w:rsidR="005B0A5B" w:rsidRDefault="005B0A5B">
          <w:pPr>
            <w:pStyle w:val="Spistreci2"/>
            <w:rPr>
              <w:rFonts w:cstheme="minorBidi"/>
              <w:noProof/>
              <w:kern w:val="2"/>
              <w14:ligatures w14:val="standardContextual"/>
            </w:rPr>
          </w:pPr>
          <w:hyperlink w:anchor="_Toc177046237" w:history="1">
            <w:r w:rsidRPr="002F26F7">
              <w:rPr>
                <w:rStyle w:val="Hipercze"/>
                <w:rFonts w:cstheme="minorHAnsi"/>
                <w:b/>
                <w:noProof/>
              </w:rPr>
              <w:t>15.</w:t>
            </w:r>
            <w:r>
              <w:rPr>
                <w:rFonts w:cstheme="minorBidi"/>
                <w:noProof/>
                <w:kern w:val="2"/>
                <w14:ligatures w14:val="standardContextual"/>
              </w:rPr>
              <w:tab/>
            </w:r>
            <w:r w:rsidRPr="002F26F7">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_Toc177046237 \h </w:instrText>
            </w:r>
            <w:r>
              <w:rPr>
                <w:noProof/>
                <w:webHidden/>
              </w:rPr>
            </w:r>
            <w:r>
              <w:rPr>
                <w:noProof/>
                <w:webHidden/>
              </w:rPr>
              <w:fldChar w:fldCharType="separate"/>
            </w:r>
            <w:r w:rsidR="008A31AB">
              <w:rPr>
                <w:noProof/>
                <w:webHidden/>
              </w:rPr>
              <w:t>29</w:t>
            </w:r>
            <w:r>
              <w:rPr>
                <w:noProof/>
                <w:webHidden/>
              </w:rPr>
              <w:fldChar w:fldCharType="end"/>
            </w:r>
          </w:hyperlink>
        </w:p>
        <w:p w14:paraId="30E62B03" w14:textId="4A5A0392" w:rsidR="005B0A5B" w:rsidRDefault="005B0A5B">
          <w:pPr>
            <w:pStyle w:val="Spistreci2"/>
            <w:rPr>
              <w:rFonts w:cstheme="minorBidi"/>
              <w:noProof/>
              <w:kern w:val="2"/>
              <w14:ligatures w14:val="standardContextual"/>
            </w:rPr>
          </w:pPr>
          <w:hyperlink w:anchor="_Toc177046238" w:history="1">
            <w:r w:rsidRPr="002F26F7">
              <w:rPr>
                <w:rStyle w:val="Hipercze"/>
                <w:rFonts w:eastAsia="Times New Roman"/>
                <w:b/>
                <w:noProof/>
              </w:rPr>
              <w:t>16.</w:t>
            </w:r>
            <w:r>
              <w:rPr>
                <w:rFonts w:cstheme="minorBidi"/>
                <w:noProof/>
                <w:kern w:val="2"/>
                <w14:ligatures w14:val="standardContextual"/>
              </w:rPr>
              <w:tab/>
            </w:r>
            <w:r w:rsidRPr="002F26F7">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_Toc177046238 \h </w:instrText>
            </w:r>
            <w:r>
              <w:rPr>
                <w:noProof/>
                <w:webHidden/>
              </w:rPr>
            </w:r>
            <w:r>
              <w:rPr>
                <w:noProof/>
                <w:webHidden/>
              </w:rPr>
              <w:fldChar w:fldCharType="separate"/>
            </w:r>
            <w:r w:rsidR="008A31AB">
              <w:rPr>
                <w:noProof/>
                <w:webHidden/>
              </w:rPr>
              <w:t>30</w:t>
            </w:r>
            <w:r>
              <w:rPr>
                <w:noProof/>
                <w:webHidden/>
              </w:rPr>
              <w:fldChar w:fldCharType="end"/>
            </w:r>
          </w:hyperlink>
        </w:p>
        <w:p w14:paraId="090CF141" w14:textId="2CD698EF" w:rsidR="005B0A5B" w:rsidRDefault="005B0A5B">
          <w:pPr>
            <w:pStyle w:val="Spistreci2"/>
            <w:rPr>
              <w:rFonts w:cstheme="minorBidi"/>
              <w:noProof/>
              <w:kern w:val="2"/>
              <w14:ligatures w14:val="standardContextual"/>
            </w:rPr>
          </w:pPr>
          <w:hyperlink w:anchor="_Toc177046239" w:history="1">
            <w:r w:rsidRPr="002F26F7">
              <w:rPr>
                <w:rStyle w:val="Hipercze"/>
                <w:b/>
                <w:noProof/>
              </w:rPr>
              <w:t>17.</w:t>
            </w:r>
            <w:r>
              <w:rPr>
                <w:rFonts w:cstheme="minorBidi"/>
                <w:noProof/>
                <w:kern w:val="2"/>
                <w14:ligatures w14:val="standardContextual"/>
              </w:rPr>
              <w:tab/>
            </w:r>
            <w:r w:rsidRPr="002F26F7">
              <w:rPr>
                <w:rStyle w:val="Hipercze"/>
                <w:b/>
                <w:noProof/>
              </w:rPr>
              <w:t>Maksymalna wartość dofinansowania projektu</w:t>
            </w:r>
            <w:r>
              <w:rPr>
                <w:noProof/>
                <w:webHidden/>
              </w:rPr>
              <w:tab/>
            </w:r>
            <w:r>
              <w:rPr>
                <w:noProof/>
                <w:webHidden/>
              </w:rPr>
              <w:fldChar w:fldCharType="begin"/>
            </w:r>
            <w:r>
              <w:rPr>
                <w:noProof/>
                <w:webHidden/>
              </w:rPr>
              <w:instrText xml:space="preserve"> PAGEREF _Toc177046239 \h </w:instrText>
            </w:r>
            <w:r>
              <w:rPr>
                <w:noProof/>
                <w:webHidden/>
              </w:rPr>
            </w:r>
            <w:r>
              <w:rPr>
                <w:noProof/>
                <w:webHidden/>
              </w:rPr>
              <w:fldChar w:fldCharType="separate"/>
            </w:r>
            <w:r w:rsidR="008A31AB">
              <w:rPr>
                <w:noProof/>
                <w:webHidden/>
              </w:rPr>
              <w:t>31</w:t>
            </w:r>
            <w:r>
              <w:rPr>
                <w:noProof/>
                <w:webHidden/>
              </w:rPr>
              <w:fldChar w:fldCharType="end"/>
            </w:r>
          </w:hyperlink>
        </w:p>
        <w:p w14:paraId="508FF1F3" w14:textId="0B549335" w:rsidR="005B0A5B" w:rsidRDefault="005B0A5B">
          <w:pPr>
            <w:pStyle w:val="Spistreci2"/>
            <w:rPr>
              <w:rFonts w:cstheme="minorBidi"/>
              <w:noProof/>
              <w:kern w:val="2"/>
              <w14:ligatures w14:val="standardContextual"/>
            </w:rPr>
          </w:pPr>
          <w:hyperlink w:anchor="_Toc177046240" w:history="1">
            <w:r w:rsidRPr="002F26F7">
              <w:rPr>
                <w:rStyle w:val="Hipercze"/>
                <w:b/>
                <w:noProof/>
              </w:rPr>
              <w:t>18.</w:t>
            </w:r>
            <w:r>
              <w:rPr>
                <w:rFonts w:cstheme="minorBidi"/>
                <w:noProof/>
                <w:kern w:val="2"/>
                <w14:ligatures w14:val="standardContextual"/>
              </w:rPr>
              <w:tab/>
            </w:r>
            <w:r w:rsidRPr="002F26F7">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_Toc177046240 \h </w:instrText>
            </w:r>
            <w:r>
              <w:rPr>
                <w:noProof/>
                <w:webHidden/>
              </w:rPr>
            </w:r>
            <w:r>
              <w:rPr>
                <w:noProof/>
                <w:webHidden/>
              </w:rPr>
              <w:fldChar w:fldCharType="separate"/>
            </w:r>
            <w:r w:rsidR="008A31AB">
              <w:rPr>
                <w:noProof/>
                <w:webHidden/>
              </w:rPr>
              <w:t>31</w:t>
            </w:r>
            <w:r>
              <w:rPr>
                <w:noProof/>
                <w:webHidden/>
              </w:rPr>
              <w:fldChar w:fldCharType="end"/>
            </w:r>
          </w:hyperlink>
        </w:p>
        <w:p w14:paraId="3D41DEFB" w14:textId="094304F2" w:rsidR="005B0A5B" w:rsidRDefault="005B0A5B">
          <w:pPr>
            <w:pStyle w:val="Spistreci2"/>
            <w:rPr>
              <w:rFonts w:cstheme="minorBidi"/>
              <w:noProof/>
              <w:kern w:val="2"/>
              <w14:ligatures w14:val="standardContextual"/>
            </w:rPr>
          </w:pPr>
          <w:hyperlink w:anchor="_Toc177046241" w:history="1">
            <w:r w:rsidRPr="002F26F7">
              <w:rPr>
                <w:rStyle w:val="Hipercze"/>
                <w:b/>
                <w:noProof/>
              </w:rPr>
              <w:t>19.</w:t>
            </w:r>
            <w:r>
              <w:rPr>
                <w:rFonts w:cstheme="minorBidi"/>
                <w:noProof/>
                <w:kern w:val="2"/>
                <w14:ligatures w14:val="standardContextual"/>
              </w:rPr>
              <w:tab/>
            </w:r>
            <w:r w:rsidRPr="002F26F7">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_Toc177046241 \h </w:instrText>
            </w:r>
            <w:r>
              <w:rPr>
                <w:noProof/>
                <w:webHidden/>
              </w:rPr>
            </w:r>
            <w:r>
              <w:rPr>
                <w:noProof/>
                <w:webHidden/>
              </w:rPr>
              <w:fldChar w:fldCharType="separate"/>
            </w:r>
            <w:r w:rsidR="008A31AB">
              <w:rPr>
                <w:noProof/>
                <w:webHidden/>
              </w:rPr>
              <w:t>31</w:t>
            </w:r>
            <w:r>
              <w:rPr>
                <w:noProof/>
                <w:webHidden/>
              </w:rPr>
              <w:fldChar w:fldCharType="end"/>
            </w:r>
          </w:hyperlink>
        </w:p>
        <w:p w14:paraId="231405A6" w14:textId="79624206" w:rsidR="005B0A5B" w:rsidRDefault="005B0A5B">
          <w:pPr>
            <w:pStyle w:val="Spistreci2"/>
            <w:rPr>
              <w:rFonts w:cstheme="minorBidi"/>
              <w:noProof/>
              <w:kern w:val="2"/>
              <w14:ligatures w14:val="standardContextual"/>
            </w:rPr>
          </w:pPr>
          <w:hyperlink w:anchor="_Toc177046242" w:history="1">
            <w:r w:rsidRPr="002F26F7">
              <w:rPr>
                <w:rStyle w:val="Hipercze"/>
                <w:b/>
                <w:noProof/>
              </w:rPr>
              <w:t>20.</w:t>
            </w:r>
            <w:r>
              <w:rPr>
                <w:rFonts w:cstheme="minorBidi"/>
                <w:noProof/>
                <w:kern w:val="2"/>
                <w14:ligatures w14:val="standardContextual"/>
              </w:rPr>
              <w:tab/>
            </w:r>
            <w:r w:rsidRPr="002F26F7">
              <w:rPr>
                <w:rStyle w:val="Hipercze"/>
                <w:b/>
                <w:noProof/>
              </w:rPr>
              <w:t>Minimalny wkład własny beneficjenta</w:t>
            </w:r>
            <w:r>
              <w:rPr>
                <w:noProof/>
                <w:webHidden/>
              </w:rPr>
              <w:tab/>
            </w:r>
            <w:r>
              <w:rPr>
                <w:noProof/>
                <w:webHidden/>
              </w:rPr>
              <w:fldChar w:fldCharType="begin"/>
            </w:r>
            <w:r>
              <w:rPr>
                <w:noProof/>
                <w:webHidden/>
              </w:rPr>
              <w:instrText xml:space="preserve"> PAGEREF _Toc177046242 \h </w:instrText>
            </w:r>
            <w:r>
              <w:rPr>
                <w:noProof/>
                <w:webHidden/>
              </w:rPr>
            </w:r>
            <w:r>
              <w:rPr>
                <w:noProof/>
                <w:webHidden/>
              </w:rPr>
              <w:fldChar w:fldCharType="separate"/>
            </w:r>
            <w:r w:rsidR="008A31AB">
              <w:rPr>
                <w:noProof/>
                <w:webHidden/>
              </w:rPr>
              <w:t>31</w:t>
            </w:r>
            <w:r>
              <w:rPr>
                <w:noProof/>
                <w:webHidden/>
              </w:rPr>
              <w:fldChar w:fldCharType="end"/>
            </w:r>
          </w:hyperlink>
        </w:p>
        <w:p w14:paraId="52296933" w14:textId="71706810" w:rsidR="005B0A5B" w:rsidRDefault="005B0A5B">
          <w:pPr>
            <w:pStyle w:val="Spistreci2"/>
            <w:rPr>
              <w:rFonts w:cstheme="minorBidi"/>
              <w:noProof/>
              <w:kern w:val="2"/>
              <w14:ligatures w14:val="standardContextual"/>
            </w:rPr>
          </w:pPr>
          <w:hyperlink w:anchor="_Toc177046243" w:history="1">
            <w:r w:rsidRPr="002F26F7">
              <w:rPr>
                <w:rStyle w:val="Hipercze"/>
                <w:b/>
                <w:noProof/>
              </w:rPr>
              <w:t>21.</w:t>
            </w:r>
            <w:r>
              <w:rPr>
                <w:rFonts w:cstheme="minorBidi"/>
                <w:noProof/>
                <w:kern w:val="2"/>
                <w14:ligatures w14:val="standardContextual"/>
              </w:rPr>
              <w:tab/>
            </w:r>
            <w:r w:rsidRPr="002F26F7">
              <w:rPr>
                <w:rStyle w:val="Hipercze"/>
                <w:b/>
                <w:noProof/>
              </w:rPr>
              <w:t>Dopuszczalny cross- financing (%)</w:t>
            </w:r>
            <w:r>
              <w:rPr>
                <w:noProof/>
                <w:webHidden/>
              </w:rPr>
              <w:tab/>
            </w:r>
            <w:r>
              <w:rPr>
                <w:noProof/>
                <w:webHidden/>
              </w:rPr>
              <w:fldChar w:fldCharType="begin"/>
            </w:r>
            <w:r>
              <w:rPr>
                <w:noProof/>
                <w:webHidden/>
              </w:rPr>
              <w:instrText xml:space="preserve"> PAGEREF _Toc177046243 \h </w:instrText>
            </w:r>
            <w:r>
              <w:rPr>
                <w:noProof/>
                <w:webHidden/>
              </w:rPr>
            </w:r>
            <w:r>
              <w:rPr>
                <w:noProof/>
                <w:webHidden/>
              </w:rPr>
              <w:fldChar w:fldCharType="separate"/>
            </w:r>
            <w:r w:rsidR="008A31AB">
              <w:rPr>
                <w:noProof/>
                <w:webHidden/>
              </w:rPr>
              <w:t>32</w:t>
            </w:r>
            <w:r>
              <w:rPr>
                <w:noProof/>
                <w:webHidden/>
              </w:rPr>
              <w:fldChar w:fldCharType="end"/>
            </w:r>
          </w:hyperlink>
        </w:p>
        <w:p w14:paraId="19B5B6B3" w14:textId="47E7EAB7" w:rsidR="005B0A5B" w:rsidRDefault="005B0A5B">
          <w:pPr>
            <w:pStyle w:val="Spistreci2"/>
            <w:rPr>
              <w:rFonts w:cstheme="minorBidi"/>
              <w:noProof/>
              <w:kern w:val="2"/>
              <w14:ligatures w14:val="standardContextual"/>
            </w:rPr>
          </w:pPr>
          <w:hyperlink w:anchor="_Toc177046244" w:history="1">
            <w:r w:rsidRPr="002F26F7">
              <w:rPr>
                <w:rStyle w:val="Hipercze"/>
                <w:b/>
                <w:noProof/>
              </w:rPr>
              <w:t>22.</w:t>
            </w:r>
            <w:r>
              <w:rPr>
                <w:rFonts w:cstheme="minorBidi"/>
                <w:noProof/>
                <w:kern w:val="2"/>
                <w14:ligatures w14:val="standardContextual"/>
              </w:rPr>
              <w:tab/>
            </w:r>
            <w:r w:rsidRPr="002F26F7">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_Toc177046244 \h </w:instrText>
            </w:r>
            <w:r>
              <w:rPr>
                <w:noProof/>
                <w:webHidden/>
              </w:rPr>
            </w:r>
            <w:r>
              <w:rPr>
                <w:noProof/>
                <w:webHidden/>
              </w:rPr>
              <w:fldChar w:fldCharType="separate"/>
            </w:r>
            <w:r w:rsidR="008A31AB">
              <w:rPr>
                <w:noProof/>
                <w:webHidden/>
              </w:rPr>
              <w:t>32</w:t>
            </w:r>
            <w:r>
              <w:rPr>
                <w:noProof/>
                <w:webHidden/>
              </w:rPr>
              <w:fldChar w:fldCharType="end"/>
            </w:r>
          </w:hyperlink>
        </w:p>
        <w:p w14:paraId="6B2EBD74" w14:textId="4C639971" w:rsidR="005B0A5B" w:rsidRDefault="005B0A5B">
          <w:pPr>
            <w:pStyle w:val="Spistreci2"/>
            <w:rPr>
              <w:rFonts w:cstheme="minorBidi"/>
              <w:noProof/>
              <w:kern w:val="2"/>
              <w14:ligatures w14:val="standardContextual"/>
            </w:rPr>
          </w:pPr>
          <w:hyperlink w:anchor="_Toc177046245" w:history="1">
            <w:r w:rsidRPr="002F26F7">
              <w:rPr>
                <w:rStyle w:val="Hipercze"/>
                <w:rFonts w:cstheme="majorHAnsi"/>
                <w:b/>
                <w:noProof/>
              </w:rPr>
              <w:t>23.</w:t>
            </w:r>
            <w:r>
              <w:rPr>
                <w:rFonts w:cstheme="minorBidi"/>
                <w:noProof/>
                <w:kern w:val="2"/>
                <w14:ligatures w14:val="standardContextual"/>
              </w:rPr>
              <w:tab/>
            </w:r>
            <w:r w:rsidRPr="002F26F7">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_Toc177046245 \h </w:instrText>
            </w:r>
            <w:r>
              <w:rPr>
                <w:noProof/>
                <w:webHidden/>
              </w:rPr>
            </w:r>
            <w:r>
              <w:rPr>
                <w:noProof/>
                <w:webHidden/>
              </w:rPr>
              <w:fldChar w:fldCharType="separate"/>
            </w:r>
            <w:r w:rsidR="008A31AB">
              <w:rPr>
                <w:noProof/>
                <w:webHidden/>
              </w:rPr>
              <w:t>32</w:t>
            </w:r>
            <w:r>
              <w:rPr>
                <w:noProof/>
                <w:webHidden/>
              </w:rPr>
              <w:fldChar w:fldCharType="end"/>
            </w:r>
          </w:hyperlink>
        </w:p>
        <w:p w14:paraId="7B26EF77" w14:textId="10CDE6CB" w:rsidR="005B0A5B" w:rsidRDefault="005B0A5B">
          <w:pPr>
            <w:pStyle w:val="Spistreci2"/>
            <w:rPr>
              <w:rFonts w:cstheme="minorBidi"/>
              <w:noProof/>
              <w:kern w:val="2"/>
              <w14:ligatures w14:val="standardContextual"/>
            </w:rPr>
          </w:pPr>
          <w:hyperlink w:anchor="_Toc177046246" w:history="1">
            <w:r w:rsidRPr="002F26F7">
              <w:rPr>
                <w:rStyle w:val="Hipercze"/>
                <w:b/>
                <w:noProof/>
              </w:rPr>
              <w:t>24.</w:t>
            </w:r>
            <w:r>
              <w:rPr>
                <w:rFonts w:cstheme="minorBidi"/>
                <w:noProof/>
                <w:kern w:val="2"/>
                <w14:ligatures w14:val="standardContextual"/>
              </w:rPr>
              <w:tab/>
            </w:r>
            <w:r w:rsidRPr="002F26F7">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_Toc177046246 \h </w:instrText>
            </w:r>
            <w:r>
              <w:rPr>
                <w:noProof/>
                <w:webHidden/>
              </w:rPr>
            </w:r>
            <w:r>
              <w:rPr>
                <w:noProof/>
                <w:webHidden/>
              </w:rPr>
              <w:fldChar w:fldCharType="separate"/>
            </w:r>
            <w:r w:rsidR="008A31AB">
              <w:rPr>
                <w:noProof/>
                <w:webHidden/>
              </w:rPr>
              <w:t>35</w:t>
            </w:r>
            <w:r>
              <w:rPr>
                <w:noProof/>
                <w:webHidden/>
              </w:rPr>
              <w:fldChar w:fldCharType="end"/>
            </w:r>
          </w:hyperlink>
        </w:p>
        <w:p w14:paraId="1FBDB0D4" w14:textId="54217C0A" w:rsidR="005B0A5B" w:rsidRDefault="005B0A5B">
          <w:pPr>
            <w:pStyle w:val="Spistreci2"/>
            <w:rPr>
              <w:rFonts w:cstheme="minorBidi"/>
              <w:noProof/>
              <w:kern w:val="2"/>
              <w14:ligatures w14:val="standardContextual"/>
            </w:rPr>
          </w:pPr>
          <w:hyperlink w:anchor="_Toc177046247" w:history="1">
            <w:r w:rsidRPr="002F26F7">
              <w:rPr>
                <w:rStyle w:val="Hipercze"/>
                <w:b/>
                <w:noProof/>
              </w:rPr>
              <w:t>25.</w:t>
            </w:r>
            <w:r>
              <w:rPr>
                <w:rFonts w:cstheme="minorBidi"/>
                <w:noProof/>
                <w:kern w:val="2"/>
                <w14:ligatures w14:val="standardContextual"/>
              </w:rPr>
              <w:tab/>
            </w:r>
            <w:r w:rsidRPr="002F26F7">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_Toc177046247 \h </w:instrText>
            </w:r>
            <w:r>
              <w:rPr>
                <w:noProof/>
                <w:webHidden/>
              </w:rPr>
            </w:r>
            <w:r>
              <w:rPr>
                <w:noProof/>
                <w:webHidden/>
              </w:rPr>
              <w:fldChar w:fldCharType="separate"/>
            </w:r>
            <w:r w:rsidR="008A31AB">
              <w:rPr>
                <w:noProof/>
                <w:webHidden/>
              </w:rPr>
              <w:t>35</w:t>
            </w:r>
            <w:r>
              <w:rPr>
                <w:noProof/>
                <w:webHidden/>
              </w:rPr>
              <w:fldChar w:fldCharType="end"/>
            </w:r>
          </w:hyperlink>
        </w:p>
        <w:p w14:paraId="4B356D96" w14:textId="4846E2DB" w:rsidR="005B0A5B" w:rsidRDefault="005B0A5B">
          <w:pPr>
            <w:pStyle w:val="Spistreci2"/>
            <w:rPr>
              <w:rFonts w:cstheme="minorBidi"/>
              <w:noProof/>
              <w:kern w:val="2"/>
              <w14:ligatures w14:val="standardContextual"/>
            </w:rPr>
          </w:pPr>
          <w:hyperlink w:anchor="_Toc177046248" w:history="1">
            <w:r w:rsidRPr="002F26F7">
              <w:rPr>
                <w:rStyle w:val="Hipercze"/>
                <w:b/>
                <w:noProof/>
              </w:rPr>
              <w:t>26.</w:t>
            </w:r>
            <w:r>
              <w:rPr>
                <w:rFonts w:cstheme="minorBidi"/>
                <w:noProof/>
                <w:kern w:val="2"/>
                <w14:ligatures w14:val="standardContextual"/>
              </w:rPr>
              <w:tab/>
            </w:r>
            <w:r w:rsidRPr="002F26F7">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_Toc177046248 \h </w:instrText>
            </w:r>
            <w:r>
              <w:rPr>
                <w:noProof/>
                <w:webHidden/>
              </w:rPr>
            </w:r>
            <w:r>
              <w:rPr>
                <w:noProof/>
                <w:webHidden/>
              </w:rPr>
              <w:fldChar w:fldCharType="separate"/>
            </w:r>
            <w:r w:rsidR="008A31AB">
              <w:rPr>
                <w:noProof/>
                <w:webHidden/>
              </w:rPr>
              <w:t>36</w:t>
            </w:r>
            <w:r>
              <w:rPr>
                <w:noProof/>
                <w:webHidden/>
              </w:rPr>
              <w:fldChar w:fldCharType="end"/>
            </w:r>
          </w:hyperlink>
        </w:p>
        <w:p w14:paraId="5BB9F2A6" w14:textId="15E2F3D8" w:rsidR="005B0A5B" w:rsidRDefault="005B0A5B">
          <w:pPr>
            <w:pStyle w:val="Spistreci2"/>
            <w:rPr>
              <w:rFonts w:cstheme="minorBidi"/>
              <w:noProof/>
              <w:kern w:val="2"/>
              <w14:ligatures w14:val="standardContextual"/>
            </w:rPr>
          </w:pPr>
          <w:hyperlink w:anchor="_Toc177046249" w:history="1">
            <w:r w:rsidRPr="002F26F7">
              <w:rPr>
                <w:rStyle w:val="Hipercze"/>
                <w:b/>
                <w:noProof/>
              </w:rPr>
              <w:t>27.</w:t>
            </w:r>
            <w:r>
              <w:rPr>
                <w:rFonts w:cstheme="minorBidi"/>
                <w:noProof/>
                <w:kern w:val="2"/>
                <w14:ligatures w14:val="standardContextual"/>
              </w:rPr>
              <w:tab/>
            </w:r>
            <w:r w:rsidRPr="002F26F7">
              <w:rPr>
                <w:rStyle w:val="Hipercze"/>
                <w:b/>
                <w:noProof/>
              </w:rPr>
              <w:t>Kwalifikowalność wydatków</w:t>
            </w:r>
            <w:r>
              <w:rPr>
                <w:noProof/>
                <w:webHidden/>
              </w:rPr>
              <w:tab/>
            </w:r>
            <w:r>
              <w:rPr>
                <w:noProof/>
                <w:webHidden/>
              </w:rPr>
              <w:fldChar w:fldCharType="begin"/>
            </w:r>
            <w:r>
              <w:rPr>
                <w:noProof/>
                <w:webHidden/>
              </w:rPr>
              <w:instrText xml:space="preserve"> PAGEREF _Toc177046249 \h </w:instrText>
            </w:r>
            <w:r>
              <w:rPr>
                <w:noProof/>
                <w:webHidden/>
              </w:rPr>
            </w:r>
            <w:r>
              <w:rPr>
                <w:noProof/>
                <w:webHidden/>
              </w:rPr>
              <w:fldChar w:fldCharType="separate"/>
            </w:r>
            <w:r w:rsidR="008A31AB">
              <w:rPr>
                <w:noProof/>
                <w:webHidden/>
              </w:rPr>
              <w:t>37</w:t>
            </w:r>
            <w:r>
              <w:rPr>
                <w:noProof/>
                <w:webHidden/>
              </w:rPr>
              <w:fldChar w:fldCharType="end"/>
            </w:r>
          </w:hyperlink>
        </w:p>
        <w:p w14:paraId="079EBE5F" w14:textId="7E291D1B" w:rsidR="005B0A5B" w:rsidRDefault="005B0A5B">
          <w:pPr>
            <w:pStyle w:val="Spistreci2"/>
            <w:rPr>
              <w:rFonts w:cstheme="minorBidi"/>
              <w:noProof/>
              <w:kern w:val="2"/>
              <w14:ligatures w14:val="standardContextual"/>
            </w:rPr>
          </w:pPr>
          <w:hyperlink w:anchor="_Toc177046250" w:history="1">
            <w:r w:rsidRPr="002F26F7">
              <w:rPr>
                <w:rStyle w:val="Hipercze"/>
                <w:b/>
                <w:noProof/>
              </w:rPr>
              <w:t>28.</w:t>
            </w:r>
            <w:r>
              <w:rPr>
                <w:rFonts w:cstheme="minorBidi"/>
                <w:noProof/>
                <w:kern w:val="2"/>
                <w14:ligatures w14:val="standardContextual"/>
              </w:rPr>
              <w:tab/>
            </w:r>
            <w:r w:rsidRPr="002F26F7">
              <w:rPr>
                <w:rStyle w:val="Hipercze"/>
                <w:b/>
                <w:noProof/>
              </w:rPr>
              <w:t>Uproszczone formy rozliczania wydatków</w:t>
            </w:r>
            <w:r>
              <w:rPr>
                <w:noProof/>
                <w:webHidden/>
              </w:rPr>
              <w:tab/>
            </w:r>
            <w:r>
              <w:rPr>
                <w:noProof/>
                <w:webHidden/>
              </w:rPr>
              <w:fldChar w:fldCharType="begin"/>
            </w:r>
            <w:r>
              <w:rPr>
                <w:noProof/>
                <w:webHidden/>
              </w:rPr>
              <w:instrText xml:space="preserve"> PAGEREF _Toc177046250 \h </w:instrText>
            </w:r>
            <w:r>
              <w:rPr>
                <w:noProof/>
                <w:webHidden/>
              </w:rPr>
            </w:r>
            <w:r>
              <w:rPr>
                <w:noProof/>
                <w:webHidden/>
              </w:rPr>
              <w:fldChar w:fldCharType="separate"/>
            </w:r>
            <w:r w:rsidR="008A31AB">
              <w:rPr>
                <w:noProof/>
                <w:webHidden/>
              </w:rPr>
              <w:t>38</w:t>
            </w:r>
            <w:r>
              <w:rPr>
                <w:noProof/>
                <w:webHidden/>
              </w:rPr>
              <w:fldChar w:fldCharType="end"/>
            </w:r>
          </w:hyperlink>
        </w:p>
        <w:p w14:paraId="6FFA03D9" w14:textId="60D52705" w:rsidR="005B0A5B" w:rsidRDefault="005B0A5B">
          <w:pPr>
            <w:pStyle w:val="Spistreci2"/>
            <w:rPr>
              <w:rFonts w:cstheme="minorBidi"/>
              <w:noProof/>
              <w:kern w:val="2"/>
              <w14:ligatures w14:val="standardContextual"/>
            </w:rPr>
          </w:pPr>
          <w:hyperlink w:anchor="_Toc177046251" w:history="1">
            <w:r w:rsidRPr="002F26F7">
              <w:rPr>
                <w:rStyle w:val="Hipercze"/>
                <w:b/>
                <w:noProof/>
              </w:rPr>
              <w:t>29.</w:t>
            </w:r>
            <w:r>
              <w:rPr>
                <w:rFonts w:cstheme="minorBidi"/>
                <w:noProof/>
                <w:kern w:val="2"/>
                <w14:ligatures w14:val="standardContextual"/>
              </w:rPr>
              <w:tab/>
            </w:r>
            <w:r w:rsidRPr="002F26F7">
              <w:rPr>
                <w:rStyle w:val="Hipercze"/>
                <w:b/>
                <w:noProof/>
              </w:rPr>
              <w:t>Partnerstwo w projekcie</w:t>
            </w:r>
            <w:r>
              <w:rPr>
                <w:noProof/>
                <w:webHidden/>
              </w:rPr>
              <w:tab/>
            </w:r>
            <w:r>
              <w:rPr>
                <w:noProof/>
                <w:webHidden/>
              </w:rPr>
              <w:fldChar w:fldCharType="begin"/>
            </w:r>
            <w:r>
              <w:rPr>
                <w:noProof/>
                <w:webHidden/>
              </w:rPr>
              <w:instrText xml:space="preserve"> PAGEREF _Toc177046251 \h </w:instrText>
            </w:r>
            <w:r>
              <w:rPr>
                <w:noProof/>
                <w:webHidden/>
              </w:rPr>
            </w:r>
            <w:r>
              <w:rPr>
                <w:noProof/>
                <w:webHidden/>
              </w:rPr>
              <w:fldChar w:fldCharType="separate"/>
            </w:r>
            <w:r w:rsidR="008A31AB">
              <w:rPr>
                <w:noProof/>
                <w:webHidden/>
              </w:rPr>
              <w:t>39</w:t>
            </w:r>
            <w:r>
              <w:rPr>
                <w:noProof/>
                <w:webHidden/>
              </w:rPr>
              <w:fldChar w:fldCharType="end"/>
            </w:r>
          </w:hyperlink>
        </w:p>
        <w:p w14:paraId="657284A8" w14:textId="722F9401" w:rsidR="005B0A5B" w:rsidRDefault="005B0A5B">
          <w:pPr>
            <w:pStyle w:val="Spistreci2"/>
            <w:rPr>
              <w:rFonts w:cstheme="minorBidi"/>
              <w:noProof/>
              <w:kern w:val="2"/>
              <w14:ligatures w14:val="standardContextual"/>
            </w:rPr>
          </w:pPr>
          <w:hyperlink w:anchor="_Toc177046252" w:history="1">
            <w:r w:rsidRPr="002F26F7">
              <w:rPr>
                <w:rStyle w:val="Hipercze"/>
                <w:b/>
                <w:noProof/>
              </w:rPr>
              <w:t>30.</w:t>
            </w:r>
            <w:r>
              <w:rPr>
                <w:rFonts w:cstheme="minorBidi"/>
                <w:noProof/>
                <w:kern w:val="2"/>
                <w14:ligatures w14:val="standardContextual"/>
              </w:rPr>
              <w:tab/>
            </w:r>
            <w:r w:rsidRPr="002F26F7">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_Toc177046252 \h </w:instrText>
            </w:r>
            <w:r>
              <w:rPr>
                <w:noProof/>
                <w:webHidden/>
              </w:rPr>
            </w:r>
            <w:r>
              <w:rPr>
                <w:noProof/>
                <w:webHidden/>
              </w:rPr>
              <w:fldChar w:fldCharType="separate"/>
            </w:r>
            <w:r w:rsidR="008A31AB">
              <w:rPr>
                <w:noProof/>
                <w:webHidden/>
              </w:rPr>
              <w:t>41</w:t>
            </w:r>
            <w:r>
              <w:rPr>
                <w:noProof/>
                <w:webHidden/>
              </w:rPr>
              <w:fldChar w:fldCharType="end"/>
            </w:r>
          </w:hyperlink>
        </w:p>
        <w:p w14:paraId="7557FF5D" w14:textId="0FAA5686" w:rsidR="005B0A5B" w:rsidRDefault="005B0A5B">
          <w:pPr>
            <w:pStyle w:val="Spistreci2"/>
            <w:rPr>
              <w:rFonts w:cstheme="minorBidi"/>
              <w:noProof/>
              <w:kern w:val="2"/>
              <w14:ligatures w14:val="standardContextual"/>
            </w:rPr>
          </w:pPr>
          <w:hyperlink w:anchor="_Toc177046253" w:history="1">
            <w:r w:rsidRPr="002F26F7">
              <w:rPr>
                <w:rStyle w:val="Hipercze"/>
                <w:rFonts w:eastAsia="Times New Roman"/>
                <w:b/>
                <w:noProof/>
              </w:rPr>
              <w:t>31.</w:t>
            </w:r>
            <w:r>
              <w:rPr>
                <w:rFonts w:cstheme="minorBidi"/>
                <w:noProof/>
                <w:kern w:val="2"/>
                <w14:ligatures w14:val="standardContextual"/>
              </w:rPr>
              <w:tab/>
            </w:r>
            <w:r w:rsidRPr="002F26F7">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_Toc177046253 \h </w:instrText>
            </w:r>
            <w:r>
              <w:rPr>
                <w:noProof/>
                <w:webHidden/>
              </w:rPr>
            </w:r>
            <w:r>
              <w:rPr>
                <w:noProof/>
                <w:webHidden/>
              </w:rPr>
              <w:fldChar w:fldCharType="separate"/>
            </w:r>
            <w:r w:rsidR="008A31AB">
              <w:rPr>
                <w:noProof/>
                <w:webHidden/>
              </w:rPr>
              <w:t>41</w:t>
            </w:r>
            <w:r>
              <w:rPr>
                <w:noProof/>
                <w:webHidden/>
              </w:rPr>
              <w:fldChar w:fldCharType="end"/>
            </w:r>
          </w:hyperlink>
        </w:p>
        <w:p w14:paraId="4BEC86EC" w14:textId="56DBD9F1" w:rsidR="005B0A5B" w:rsidRDefault="005B0A5B">
          <w:pPr>
            <w:pStyle w:val="Spistreci2"/>
            <w:rPr>
              <w:rFonts w:cstheme="minorBidi"/>
              <w:noProof/>
              <w:kern w:val="2"/>
              <w14:ligatures w14:val="standardContextual"/>
            </w:rPr>
          </w:pPr>
          <w:hyperlink w:anchor="_Toc177046254" w:history="1">
            <w:r w:rsidRPr="002F26F7">
              <w:rPr>
                <w:rStyle w:val="Hipercze"/>
                <w:b/>
                <w:noProof/>
              </w:rPr>
              <w:t>32.</w:t>
            </w:r>
            <w:r>
              <w:rPr>
                <w:rFonts w:cstheme="minorBidi"/>
                <w:noProof/>
                <w:kern w:val="2"/>
                <w14:ligatures w14:val="standardContextual"/>
              </w:rPr>
              <w:tab/>
            </w:r>
            <w:r w:rsidRPr="002F26F7">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_Toc177046254 \h </w:instrText>
            </w:r>
            <w:r>
              <w:rPr>
                <w:noProof/>
                <w:webHidden/>
              </w:rPr>
            </w:r>
            <w:r>
              <w:rPr>
                <w:noProof/>
                <w:webHidden/>
              </w:rPr>
              <w:fldChar w:fldCharType="separate"/>
            </w:r>
            <w:r w:rsidR="008A31AB">
              <w:rPr>
                <w:noProof/>
                <w:webHidden/>
              </w:rPr>
              <w:t>43</w:t>
            </w:r>
            <w:r>
              <w:rPr>
                <w:noProof/>
                <w:webHidden/>
              </w:rPr>
              <w:fldChar w:fldCharType="end"/>
            </w:r>
          </w:hyperlink>
        </w:p>
        <w:p w14:paraId="4C00FA8E" w14:textId="76B1A4A1" w:rsidR="005B0A5B" w:rsidRDefault="005B0A5B">
          <w:pPr>
            <w:pStyle w:val="Spistreci2"/>
            <w:rPr>
              <w:rFonts w:cstheme="minorBidi"/>
              <w:noProof/>
              <w:kern w:val="2"/>
              <w14:ligatures w14:val="standardContextual"/>
            </w:rPr>
          </w:pPr>
          <w:hyperlink w:anchor="_Toc177046255" w:history="1">
            <w:r w:rsidRPr="002F26F7">
              <w:rPr>
                <w:rStyle w:val="Hipercze"/>
                <w:b/>
                <w:noProof/>
              </w:rPr>
              <w:t>33.</w:t>
            </w:r>
            <w:r>
              <w:rPr>
                <w:rFonts w:cstheme="minorBidi"/>
                <w:noProof/>
                <w:kern w:val="2"/>
                <w14:ligatures w14:val="standardContextual"/>
              </w:rPr>
              <w:tab/>
            </w:r>
            <w:r w:rsidRPr="002F26F7">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_Toc177046255 \h </w:instrText>
            </w:r>
            <w:r>
              <w:rPr>
                <w:noProof/>
                <w:webHidden/>
              </w:rPr>
            </w:r>
            <w:r>
              <w:rPr>
                <w:noProof/>
                <w:webHidden/>
              </w:rPr>
              <w:fldChar w:fldCharType="separate"/>
            </w:r>
            <w:r w:rsidR="008A31AB">
              <w:rPr>
                <w:noProof/>
                <w:webHidden/>
              </w:rPr>
              <w:t>44</w:t>
            </w:r>
            <w:r>
              <w:rPr>
                <w:noProof/>
                <w:webHidden/>
              </w:rPr>
              <w:fldChar w:fldCharType="end"/>
            </w:r>
          </w:hyperlink>
        </w:p>
        <w:p w14:paraId="5C98E5DD" w14:textId="433039D9" w:rsidR="005B0A5B" w:rsidRDefault="005B0A5B">
          <w:pPr>
            <w:pStyle w:val="Spistreci1"/>
            <w:rPr>
              <w:rFonts w:eastAsiaTheme="minorEastAsia" w:cstheme="minorBidi"/>
              <w:b w:val="0"/>
              <w:kern w:val="2"/>
              <w:sz w:val="22"/>
              <w:szCs w:val="22"/>
              <w14:ligatures w14:val="standardContextual"/>
            </w:rPr>
          </w:pPr>
          <w:hyperlink w:anchor="_Toc177046256" w:history="1">
            <w:r w:rsidRPr="002F26F7">
              <w:rPr>
                <w:rStyle w:val="Hipercze"/>
              </w:rPr>
              <w:t>III.</w:t>
            </w:r>
            <w:r>
              <w:rPr>
                <w:rFonts w:eastAsiaTheme="minorEastAsia" w:cstheme="minorBidi"/>
                <w:b w:val="0"/>
                <w:kern w:val="2"/>
                <w:sz w:val="22"/>
                <w:szCs w:val="22"/>
                <w14:ligatures w14:val="standardContextual"/>
              </w:rPr>
              <w:tab/>
            </w:r>
            <w:r w:rsidRPr="002F26F7">
              <w:rPr>
                <w:rStyle w:val="Hipercze"/>
              </w:rPr>
              <w:t>Wykaz załączników</w:t>
            </w:r>
            <w:r>
              <w:rPr>
                <w:webHidden/>
              </w:rPr>
              <w:tab/>
            </w:r>
            <w:r>
              <w:rPr>
                <w:webHidden/>
              </w:rPr>
              <w:fldChar w:fldCharType="begin"/>
            </w:r>
            <w:r>
              <w:rPr>
                <w:webHidden/>
              </w:rPr>
              <w:instrText xml:space="preserve"> PAGEREF _Toc177046256 \h </w:instrText>
            </w:r>
            <w:r>
              <w:rPr>
                <w:webHidden/>
              </w:rPr>
            </w:r>
            <w:r>
              <w:rPr>
                <w:webHidden/>
              </w:rPr>
              <w:fldChar w:fldCharType="separate"/>
            </w:r>
            <w:r w:rsidR="008A31AB">
              <w:rPr>
                <w:webHidden/>
              </w:rPr>
              <w:t>45</w:t>
            </w:r>
            <w:r>
              <w:rPr>
                <w:webHidden/>
              </w:rPr>
              <w:fldChar w:fldCharType="end"/>
            </w:r>
          </w:hyperlink>
        </w:p>
        <w:p w14:paraId="70B725AD" w14:textId="09989B84" w:rsidR="005B0A5B" w:rsidRDefault="005B0A5B">
          <w:pPr>
            <w:pStyle w:val="Spistreci1"/>
            <w:rPr>
              <w:rFonts w:eastAsiaTheme="minorEastAsia" w:cstheme="minorBidi"/>
              <w:b w:val="0"/>
              <w:kern w:val="2"/>
              <w:sz w:val="22"/>
              <w:szCs w:val="22"/>
              <w14:ligatures w14:val="standardContextual"/>
            </w:rPr>
          </w:pPr>
          <w:hyperlink w:anchor="_Toc177046257" w:history="1">
            <w:r w:rsidRPr="002F26F7">
              <w:rPr>
                <w:rStyle w:val="Hipercze"/>
              </w:rPr>
              <w:t>IV.</w:t>
            </w:r>
            <w:r>
              <w:rPr>
                <w:rFonts w:eastAsiaTheme="minorEastAsia" w:cstheme="minorBidi"/>
                <w:b w:val="0"/>
                <w:kern w:val="2"/>
                <w:sz w:val="22"/>
                <w:szCs w:val="22"/>
                <w14:ligatures w14:val="standardContextual"/>
              </w:rPr>
              <w:tab/>
            </w:r>
            <w:r w:rsidRPr="002F26F7">
              <w:rPr>
                <w:rStyle w:val="Hipercze"/>
              </w:rPr>
              <w:t>Inne dokumenty obowiązujące w naborze</w:t>
            </w:r>
            <w:r>
              <w:rPr>
                <w:webHidden/>
              </w:rPr>
              <w:tab/>
            </w:r>
            <w:r>
              <w:rPr>
                <w:webHidden/>
              </w:rPr>
              <w:fldChar w:fldCharType="begin"/>
            </w:r>
            <w:r>
              <w:rPr>
                <w:webHidden/>
              </w:rPr>
              <w:instrText xml:space="preserve"> PAGEREF _Toc177046257 \h </w:instrText>
            </w:r>
            <w:r>
              <w:rPr>
                <w:webHidden/>
              </w:rPr>
            </w:r>
            <w:r>
              <w:rPr>
                <w:webHidden/>
              </w:rPr>
              <w:fldChar w:fldCharType="separate"/>
            </w:r>
            <w:r w:rsidR="008A31AB">
              <w:rPr>
                <w:webHidden/>
              </w:rPr>
              <w:t>45</w:t>
            </w:r>
            <w:r>
              <w:rPr>
                <w:webHidden/>
              </w:rPr>
              <w:fldChar w:fldCharType="end"/>
            </w:r>
          </w:hyperlink>
        </w:p>
        <w:p w14:paraId="4CA34BF0" w14:textId="3D2D483F"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177046216"/>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177046217"/>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04155F32" w14:textId="60FC00C4"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dzieci i młodzież, o których mowa w rozdziale V pkt 1 </w:t>
      </w:r>
      <w:r w:rsidRPr="00691801">
        <w:rPr>
          <w:rFonts w:cstheme="minorHAnsi"/>
          <w:bCs/>
          <w:i/>
          <w:iCs/>
          <w:sz w:val="24"/>
          <w:szCs w:val="24"/>
        </w:rPr>
        <w:t>Analizy grup znajdujących się w niekorzystnej sytuacji w</w:t>
      </w:r>
      <w:r w:rsidR="008B433C">
        <w:rPr>
          <w:rFonts w:cstheme="minorHAnsi"/>
          <w:bCs/>
          <w:i/>
          <w:iCs/>
          <w:sz w:val="24"/>
          <w:szCs w:val="24"/>
        </w:rPr>
        <w:t> </w:t>
      </w:r>
      <w:r w:rsidRPr="00691801">
        <w:rPr>
          <w:rFonts w:cstheme="minorHAnsi"/>
          <w:bCs/>
          <w:i/>
          <w:iCs/>
          <w:sz w:val="24"/>
          <w:szCs w:val="24"/>
        </w:rPr>
        <w:t xml:space="preserve">województwie opolskim, </w:t>
      </w:r>
      <w:r w:rsidRPr="002137F5">
        <w:rPr>
          <w:rFonts w:cstheme="minorHAnsi"/>
          <w:bCs/>
          <w:sz w:val="24"/>
          <w:szCs w:val="24"/>
        </w:rPr>
        <w:t>stanowiącej załącznik</w:t>
      </w:r>
      <w:r w:rsidR="00633BA1" w:rsidRPr="002137F5">
        <w:rPr>
          <w:rFonts w:cstheme="minorHAnsi"/>
          <w:bCs/>
          <w:sz w:val="24"/>
          <w:szCs w:val="24"/>
        </w:rPr>
        <w:t xml:space="preserve"> nr 12</w:t>
      </w:r>
      <w:r w:rsidRPr="002137F5">
        <w:rPr>
          <w:rFonts w:cstheme="minorHAnsi"/>
          <w:bCs/>
          <w:sz w:val="24"/>
          <w:szCs w:val="24"/>
        </w:rPr>
        <w:t xml:space="preserve"> do niniejszego Regulaminu wyboru projektów.  </w:t>
      </w:r>
    </w:p>
    <w:p w14:paraId="42F1B431" w14:textId="0260066E" w:rsidR="00B40922" w:rsidRPr="002137F5" w:rsidRDefault="00B40922" w:rsidP="00B40922">
      <w:pPr>
        <w:spacing w:after="120" w:line="276" w:lineRule="auto"/>
        <w:rPr>
          <w:sz w:val="24"/>
          <w:szCs w:val="24"/>
        </w:rPr>
      </w:pPr>
      <w:r w:rsidRPr="00691801">
        <w:rPr>
          <w:rFonts w:cstheme="minorHAnsi"/>
          <w:b/>
          <w:sz w:val="24"/>
          <w:szCs w:val="24"/>
        </w:rPr>
        <w:t>Dzieci i młodzież z rodzin o niskim statusie społeczno-ekonomicznym</w:t>
      </w:r>
      <w:r w:rsidRPr="00691801">
        <w:rPr>
          <w:rFonts w:cstheme="minorHAnsi"/>
          <w:bCs/>
          <w:sz w:val="24"/>
          <w:szCs w:val="24"/>
        </w:rPr>
        <w:t xml:space="preserve">- dzieci i młodzież </w:t>
      </w:r>
      <w:r w:rsidR="008B433C">
        <w:rPr>
          <w:rFonts w:cstheme="minorHAnsi"/>
          <w:bCs/>
          <w:sz w:val="24"/>
          <w:szCs w:val="24"/>
        </w:rPr>
        <w:br/>
      </w:r>
      <w:r w:rsidRPr="00691801">
        <w:rPr>
          <w:rFonts w:cstheme="minorHAnsi"/>
          <w:bCs/>
          <w:sz w:val="24"/>
          <w:szCs w:val="24"/>
        </w:rPr>
        <w:t>z rodzin</w:t>
      </w:r>
      <w:r w:rsidR="008B433C">
        <w:rPr>
          <w:rFonts w:cstheme="minorHAnsi"/>
          <w:bCs/>
          <w:sz w:val="24"/>
          <w:szCs w:val="24"/>
        </w:rPr>
        <w:t>,</w:t>
      </w:r>
      <w:r w:rsidRPr="00691801">
        <w:rPr>
          <w:rFonts w:cstheme="minorHAnsi"/>
          <w:bCs/>
          <w:sz w:val="24"/>
          <w:szCs w:val="24"/>
        </w:rPr>
        <w:t xml:space="preserve"> </w:t>
      </w:r>
      <w:r w:rsidRPr="002137F5">
        <w:rPr>
          <w:sz w:val="24"/>
          <w:szCs w:val="24"/>
        </w:rPr>
        <w:t>których dochód na osobę w rodzinie nie przekracza 250% właściwego kryterium dochodowego</w:t>
      </w:r>
      <w:r w:rsidRPr="002137F5">
        <w:rPr>
          <w:rStyle w:val="Odwoanieprzypisudolnego"/>
          <w:sz w:val="24"/>
          <w:szCs w:val="24"/>
        </w:rPr>
        <w:footnoteReference w:id="1"/>
      </w:r>
      <w:r w:rsidRPr="002137F5">
        <w:rPr>
          <w:sz w:val="24"/>
          <w:szCs w:val="24"/>
        </w:rPr>
        <w:t xml:space="preserve"> o którym mowa w ustawie</w:t>
      </w:r>
      <w:r w:rsidRPr="002137F5">
        <w:rPr>
          <w:spacing w:val="1"/>
          <w:sz w:val="24"/>
          <w:szCs w:val="24"/>
        </w:rPr>
        <w:t xml:space="preserve"> </w:t>
      </w:r>
      <w:r w:rsidRPr="002137F5">
        <w:rPr>
          <w:sz w:val="24"/>
          <w:szCs w:val="24"/>
        </w:rPr>
        <w:t xml:space="preserve">z dnia 12 marca 2004 </w:t>
      </w:r>
      <w:proofErr w:type="gramStart"/>
      <w:r w:rsidRPr="002137F5">
        <w:rPr>
          <w:sz w:val="24"/>
          <w:szCs w:val="24"/>
        </w:rPr>
        <w:t>r  o</w:t>
      </w:r>
      <w:proofErr w:type="gramEnd"/>
      <w:r w:rsidRPr="002137F5">
        <w:rPr>
          <w:sz w:val="24"/>
          <w:szCs w:val="24"/>
        </w:rPr>
        <w:t xml:space="preserve"> pomocy społecznej w</w:t>
      </w:r>
      <w:r w:rsidR="008B433C">
        <w:rPr>
          <w:sz w:val="24"/>
          <w:szCs w:val="24"/>
        </w:rPr>
        <w:t> </w:t>
      </w:r>
      <w:proofErr w:type="gramStart"/>
      <w:r w:rsidRPr="002137F5">
        <w:rPr>
          <w:sz w:val="24"/>
          <w:szCs w:val="24"/>
        </w:rPr>
        <w:t>sytuacji</w:t>
      </w:r>
      <w:proofErr w:type="gramEnd"/>
      <w:r w:rsidRPr="002137F5">
        <w:rPr>
          <w:sz w:val="24"/>
          <w:szCs w:val="24"/>
        </w:rPr>
        <w:t xml:space="preserve"> kiedy rodzice/opiekunowie prawni dzieci/ </w:t>
      </w:r>
      <w:proofErr w:type="gramStart"/>
      <w:r w:rsidRPr="002137F5">
        <w:rPr>
          <w:sz w:val="24"/>
          <w:szCs w:val="24"/>
        </w:rPr>
        <w:t>młodzieży  korzystają</w:t>
      </w:r>
      <w:proofErr w:type="gramEnd"/>
      <w:r w:rsidRPr="002137F5">
        <w:rPr>
          <w:sz w:val="24"/>
          <w:szCs w:val="24"/>
        </w:rPr>
        <w:t xml:space="preserve"> jednocześnie ze świadczeń pomocy społecznej na podstawie co najmniej </w:t>
      </w:r>
      <w:proofErr w:type="gramStart"/>
      <w:r w:rsidRPr="002137F5">
        <w:rPr>
          <w:sz w:val="24"/>
          <w:szCs w:val="24"/>
        </w:rPr>
        <w:t xml:space="preserve">dwóch </w:t>
      </w:r>
      <w:r w:rsidRPr="002137F5">
        <w:rPr>
          <w:spacing w:val="1"/>
          <w:sz w:val="24"/>
          <w:szCs w:val="24"/>
        </w:rPr>
        <w:t xml:space="preserve"> </w:t>
      </w:r>
      <w:r w:rsidRPr="002137F5">
        <w:rPr>
          <w:sz w:val="24"/>
          <w:szCs w:val="24"/>
        </w:rPr>
        <w:t>przesłanek</w:t>
      </w:r>
      <w:proofErr w:type="gramEnd"/>
      <w:r w:rsidRPr="002137F5">
        <w:rPr>
          <w:sz w:val="24"/>
          <w:szCs w:val="24"/>
        </w:rPr>
        <w:t xml:space="preserve">  określonych</w:t>
      </w:r>
      <w:r w:rsidRPr="002137F5">
        <w:rPr>
          <w:spacing w:val="-1"/>
          <w:sz w:val="24"/>
          <w:szCs w:val="24"/>
        </w:rPr>
        <w:t xml:space="preserve"> </w:t>
      </w:r>
      <w:r w:rsidRPr="002137F5">
        <w:rPr>
          <w:sz w:val="24"/>
          <w:szCs w:val="24"/>
        </w:rPr>
        <w:t>w</w:t>
      </w:r>
      <w:r w:rsidR="008B433C">
        <w:rPr>
          <w:spacing w:val="-1"/>
          <w:sz w:val="24"/>
          <w:szCs w:val="24"/>
        </w:rPr>
        <w:t> </w:t>
      </w:r>
      <w:r w:rsidRPr="002137F5">
        <w:rPr>
          <w:sz w:val="24"/>
          <w:szCs w:val="24"/>
        </w:rPr>
        <w:t>art.</w:t>
      </w:r>
      <w:r w:rsidRPr="002137F5">
        <w:rPr>
          <w:spacing w:val="-1"/>
          <w:sz w:val="24"/>
          <w:szCs w:val="24"/>
        </w:rPr>
        <w:t xml:space="preserve"> </w:t>
      </w:r>
      <w:r w:rsidRPr="002137F5">
        <w:rPr>
          <w:sz w:val="24"/>
          <w:szCs w:val="24"/>
        </w:rPr>
        <w:t>7</w:t>
      </w:r>
      <w:r w:rsidRPr="002137F5">
        <w:rPr>
          <w:spacing w:val="-1"/>
          <w:sz w:val="24"/>
          <w:szCs w:val="24"/>
        </w:rPr>
        <w:t xml:space="preserve"> </w:t>
      </w:r>
      <w:r w:rsidRPr="002137F5">
        <w:rPr>
          <w:sz w:val="24"/>
          <w:szCs w:val="24"/>
        </w:rPr>
        <w:t>ww.</w:t>
      </w:r>
      <w:r w:rsidRPr="002137F5">
        <w:rPr>
          <w:spacing w:val="-1"/>
          <w:sz w:val="24"/>
          <w:szCs w:val="24"/>
        </w:rPr>
        <w:t xml:space="preserve"> </w:t>
      </w:r>
      <w:r w:rsidRPr="002137F5">
        <w:rPr>
          <w:sz w:val="24"/>
          <w:szCs w:val="24"/>
        </w:rPr>
        <w:t>ustawy.</w:t>
      </w:r>
    </w:p>
    <w:p w14:paraId="4D9A8A07" w14:textId="77777777" w:rsidR="00B40922" w:rsidRPr="002137F5" w:rsidRDefault="00B40922" w:rsidP="00B40922">
      <w:pPr>
        <w:spacing w:after="120" w:line="276" w:lineRule="auto"/>
        <w:rPr>
          <w:b/>
          <w:bCs/>
          <w:sz w:val="24"/>
          <w:szCs w:val="24"/>
        </w:rPr>
      </w:pPr>
      <w:r w:rsidRPr="002137F5">
        <w:rPr>
          <w:b/>
          <w:bCs/>
          <w:sz w:val="24"/>
          <w:szCs w:val="24"/>
        </w:rPr>
        <w:t xml:space="preserve">Dzieci i młodzież z rodzin </w:t>
      </w:r>
      <w:proofErr w:type="spellStart"/>
      <w:r w:rsidRPr="002137F5">
        <w:rPr>
          <w:b/>
          <w:bCs/>
          <w:sz w:val="24"/>
          <w:szCs w:val="24"/>
        </w:rPr>
        <w:t>migranckich</w:t>
      </w:r>
      <w:proofErr w:type="spellEnd"/>
      <w:r w:rsidRPr="002137F5">
        <w:rPr>
          <w:b/>
          <w:bCs/>
          <w:sz w:val="24"/>
          <w:szCs w:val="24"/>
        </w:rPr>
        <w:t xml:space="preserve">- </w:t>
      </w:r>
      <w:r w:rsidRPr="002137F5">
        <w:rPr>
          <w:sz w:val="24"/>
          <w:szCs w:val="24"/>
        </w:rPr>
        <w:t xml:space="preserve">dzieci i młodzież z rodzin przybyłych z zagranicy na terytorium Rzeczypospolitej Polskiej w celu osiedlenia się (zamieszkania na stałe) lub na pobyt czasowy. </w:t>
      </w:r>
    </w:p>
    <w:p w14:paraId="3CADFA4C" w14:textId="77777777"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V pkt 5 </w:t>
      </w:r>
      <w:r w:rsidRPr="00691801">
        <w:rPr>
          <w:rFonts w:cstheme="minorHAnsi"/>
          <w:bCs/>
          <w:i/>
          <w:iCs/>
          <w:sz w:val="24"/>
          <w:szCs w:val="24"/>
        </w:rPr>
        <w:t xml:space="preserve">Analizy grup znajdujących się w niekorzystnej sytuacji w województwie </w:t>
      </w:r>
      <w:proofErr w:type="gramStart"/>
      <w:r w:rsidRPr="00691801">
        <w:rPr>
          <w:rFonts w:cstheme="minorHAnsi"/>
          <w:bCs/>
          <w:i/>
          <w:iCs/>
          <w:sz w:val="24"/>
          <w:szCs w:val="24"/>
        </w:rPr>
        <w:t xml:space="preserve">opolskim  </w:t>
      </w:r>
      <w:r w:rsidRPr="00691801">
        <w:rPr>
          <w:rFonts w:cstheme="minorHAnsi"/>
          <w:bCs/>
          <w:sz w:val="24"/>
          <w:szCs w:val="24"/>
        </w:rPr>
        <w:t>tj.</w:t>
      </w:r>
      <w:proofErr w:type="gramEnd"/>
      <w:r w:rsidRPr="00691801">
        <w:rPr>
          <w:rFonts w:cstheme="minorHAnsi"/>
          <w:bCs/>
          <w:sz w:val="24"/>
          <w:szCs w:val="24"/>
        </w:rPr>
        <w:t xml:space="preserve"> 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14EA6ADE"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691801">
        <w:rPr>
          <w:rFonts w:cstheme="minorHAnsi"/>
          <w:bCs/>
          <w:i/>
          <w:iCs/>
          <w:sz w:val="24"/>
          <w:szCs w:val="24"/>
        </w:rPr>
        <w:t>Podziałem jednostek przestrzennych województwa opolskiego wg</w:t>
      </w:r>
      <w:r w:rsidR="008B433C">
        <w:rPr>
          <w:rFonts w:cstheme="minorHAnsi"/>
          <w:bCs/>
          <w:i/>
          <w:iCs/>
          <w:sz w:val="24"/>
          <w:szCs w:val="24"/>
        </w:rPr>
        <w:t> </w:t>
      </w:r>
      <w:r w:rsidRPr="00691801">
        <w:rPr>
          <w:rFonts w:cstheme="minorHAnsi"/>
          <w:bCs/>
          <w:i/>
          <w:iCs/>
          <w:sz w:val="24"/>
          <w:szCs w:val="24"/>
        </w:rPr>
        <w:t xml:space="preserve">klasyfikacji DEGURBA </w:t>
      </w:r>
      <w:r w:rsidRPr="00691801">
        <w:rPr>
          <w:rFonts w:cstheme="minorHAnsi"/>
          <w:bCs/>
          <w:sz w:val="24"/>
          <w:szCs w:val="24"/>
        </w:rPr>
        <w:t>stanowiącym załącznik</w:t>
      </w:r>
      <w:r w:rsidR="00633BA1">
        <w:rPr>
          <w:rFonts w:cstheme="minorHAnsi"/>
          <w:bCs/>
          <w:sz w:val="24"/>
          <w:szCs w:val="24"/>
        </w:rPr>
        <w:t xml:space="preserve"> nr 8 </w:t>
      </w:r>
      <w:r w:rsidRPr="00691801">
        <w:rPr>
          <w:rFonts w:cstheme="minorHAnsi"/>
          <w:bCs/>
          <w:sz w:val="24"/>
          <w:szCs w:val="24"/>
        </w:rPr>
        <w:t xml:space="preserve">do Regulaminu wyboru projektów.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lastRenderedPageBreak/>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xml:space="preserve">- Lokalny System </w:t>
      </w:r>
      <w:proofErr w:type="gramStart"/>
      <w:r w:rsidRPr="00BA18C4">
        <w:rPr>
          <w:rFonts w:cstheme="minorHAnsi"/>
          <w:sz w:val="24"/>
          <w:szCs w:val="24"/>
        </w:rPr>
        <w:t>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w</w:t>
      </w:r>
      <w:proofErr w:type="gramEnd"/>
      <w:r w:rsidR="00926867"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lastRenderedPageBreak/>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proofErr w:type="gramStart"/>
      <w:r>
        <w:rPr>
          <w:rFonts w:cstheme="minorHAnsi"/>
          <w:sz w:val="24"/>
          <w:szCs w:val="24"/>
        </w:rPr>
        <w:t xml:space="preserve">-  </w:t>
      </w:r>
      <w:r w:rsidRPr="004431C2">
        <w:rPr>
          <w:rFonts w:cstheme="minorHAnsi"/>
          <w:sz w:val="24"/>
          <w:szCs w:val="24"/>
        </w:rPr>
        <w:t>Zintegrowana</w:t>
      </w:r>
      <w:proofErr w:type="gramEnd"/>
      <w:r w:rsidRPr="004431C2">
        <w:rPr>
          <w:rFonts w:cstheme="minorHAnsi"/>
          <w:sz w:val="24"/>
          <w:szCs w:val="24"/>
        </w:rPr>
        <w:t xml:space="preserve">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5" w:name="_Toc177046218"/>
      <w:r w:rsidRPr="00524989">
        <w:rPr>
          <w:b/>
          <w:color w:val="auto"/>
          <w:sz w:val="28"/>
          <w:szCs w:val="28"/>
        </w:rPr>
        <w:t>Informacje wstępne</w:t>
      </w:r>
      <w:bookmarkEnd w:id="5"/>
    </w:p>
    <w:p w14:paraId="7F7A5AEB" w14:textId="09910FB8"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w:t>
      </w:r>
      <w:proofErr w:type="gramStart"/>
      <w:r w:rsidRPr="006F2CFC">
        <w:rPr>
          <w:rFonts w:cs="Calibri"/>
          <w:sz w:val="24"/>
          <w:szCs w:val="24"/>
        </w:rPr>
        <w:t>Regulamin  dotyczy</w:t>
      </w:r>
      <w:proofErr w:type="gramEnd"/>
      <w:r w:rsidRPr="006F2CFC">
        <w:rPr>
          <w:rFonts w:cs="Calibri"/>
          <w:sz w:val="24"/>
          <w:szCs w:val="24"/>
        </w:rPr>
        <w:t xml:space="preserve">:  naborów wniosków o dofinansowanie projektów nr </w:t>
      </w:r>
      <w:r w:rsidRPr="006F2CFC">
        <w:rPr>
          <w:rFonts w:cs="Calibri"/>
          <w:b/>
          <w:bCs/>
          <w:sz w:val="24"/>
          <w:szCs w:val="24"/>
        </w:rPr>
        <w:t>FEOP.05.10-IP.02-001/24, FEOP.05.10-IP.02-002/24, FEOP.05.10-IP.02-003/24, FEOP.05.10-IP.02-004/24, FEOP.05.10-IP.02-005/24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proofErr w:type="gramStart"/>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w:t>
      </w:r>
      <w:proofErr w:type="gramEnd"/>
      <w:r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w:t>
      </w:r>
      <w:r w:rsidR="004201D1" w:rsidRPr="004201D1">
        <w:rPr>
          <w:rFonts w:cstheme="minorHAnsi"/>
          <w:sz w:val="24"/>
          <w:szCs w:val="24"/>
        </w:rPr>
        <w:lastRenderedPageBreak/>
        <w:t xml:space="preserve">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6" w:name="_Toc177046219"/>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7" w:name="_Toc177046220"/>
      <w:r w:rsidRPr="00524989">
        <w:rPr>
          <w:b/>
          <w:color w:val="auto"/>
          <w:sz w:val="28"/>
          <w:szCs w:val="28"/>
        </w:rPr>
        <w:lastRenderedPageBreak/>
        <w:t>Podstawy prawne i dokumenty programowe</w:t>
      </w:r>
      <w:bookmarkEnd w:id="7"/>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w:t>
      </w:r>
      <w:proofErr w:type="spellStart"/>
      <w:r w:rsidRPr="00C7064F">
        <w:rPr>
          <w:rFonts w:cstheme="minorHAnsi"/>
          <w:sz w:val="24"/>
          <w:szCs w:val="24"/>
        </w:rPr>
        <w:t>t.j</w:t>
      </w:r>
      <w:proofErr w:type="spellEnd"/>
      <w:r w:rsidRPr="00C7064F">
        <w:rPr>
          <w:rFonts w:cstheme="minorHAnsi"/>
          <w:sz w:val="24"/>
          <w:szCs w:val="24"/>
        </w:rPr>
        <w:t>. Dz. U. z 2023</w:t>
      </w:r>
      <w:r w:rsidR="00011360">
        <w:rPr>
          <w:rFonts w:cstheme="minorHAnsi"/>
          <w:sz w:val="24"/>
          <w:szCs w:val="24"/>
        </w:rPr>
        <w:t xml:space="preserve"> r.</w:t>
      </w:r>
      <w:proofErr w:type="gramStart"/>
      <w:r w:rsidR="00011360">
        <w:rPr>
          <w:rFonts w:cstheme="minorHAnsi"/>
          <w:sz w:val="24"/>
          <w:szCs w:val="24"/>
        </w:rPr>
        <w:t xml:space="preserve">, </w:t>
      </w:r>
      <w:r w:rsidRPr="00C7064F">
        <w:rPr>
          <w:rFonts w:cstheme="minorHAnsi"/>
          <w:sz w:val="24"/>
          <w:szCs w:val="24"/>
        </w:rPr>
        <w:t xml:space="preserve"> poz.</w:t>
      </w:r>
      <w:proofErr w:type="gramEnd"/>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w:t>
      </w:r>
      <w:proofErr w:type="spellStart"/>
      <w:r w:rsidRPr="00011360">
        <w:rPr>
          <w:rFonts w:cstheme="minorHAnsi"/>
          <w:sz w:val="24"/>
          <w:szCs w:val="24"/>
        </w:rPr>
        <w:t>t.j</w:t>
      </w:r>
      <w:proofErr w:type="spellEnd"/>
      <w:r w:rsidRPr="00011360">
        <w:rPr>
          <w:rFonts w:cstheme="minorHAnsi"/>
          <w:sz w:val="24"/>
          <w:szCs w:val="24"/>
        </w:rPr>
        <w:t>.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Ustawa z dnia 10 maja 2018 r. o ochronie danych osobowych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w:t>
      </w:r>
      <w:proofErr w:type="spellStart"/>
      <w:r w:rsidRPr="00C7064F">
        <w:rPr>
          <w:rFonts w:cstheme="minorHAnsi"/>
          <w:sz w:val="24"/>
          <w:szCs w:val="24"/>
        </w:rPr>
        <w:t>t.j</w:t>
      </w:r>
      <w:proofErr w:type="spellEnd"/>
      <w:r w:rsidRPr="00C7064F">
        <w:rPr>
          <w:rFonts w:cstheme="minorHAnsi"/>
          <w:sz w:val="24"/>
          <w:szCs w:val="24"/>
        </w:rPr>
        <w:t>.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807295">
        <w:rPr>
          <w:rFonts w:cstheme="minorHAnsi"/>
          <w:sz w:val="24"/>
          <w:szCs w:val="24"/>
        </w:rPr>
        <w:t>t.j</w:t>
      </w:r>
      <w:proofErr w:type="spellEnd"/>
      <w:r w:rsidR="00807295">
        <w:rPr>
          <w:rFonts w:cstheme="minorHAnsi"/>
          <w:sz w:val="24"/>
          <w:szCs w:val="24"/>
        </w:rPr>
        <w:t>.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proofErr w:type="spellStart"/>
      <w:r w:rsidR="00DE51EA">
        <w:rPr>
          <w:rFonts w:cstheme="minorHAnsi"/>
          <w:sz w:val="24"/>
          <w:szCs w:val="24"/>
        </w:rPr>
        <w:t>t.j</w:t>
      </w:r>
      <w:proofErr w:type="spellEnd"/>
      <w:r w:rsidR="00DE51EA">
        <w:rPr>
          <w:rFonts w:cstheme="minorHAnsi"/>
          <w:sz w:val="24"/>
          <w:szCs w:val="24"/>
        </w:rPr>
        <w:t xml:space="preserve">.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proofErr w:type="spellStart"/>
      <w:r w:rsidR="00DE51EA" w:rsidRPr="00DE51EA">
        <w:rPr>
          <w:rFonts w:cstheme="minorHAnsi"/>
          <w:sz w:val="24"/>
          <w:szCs w:val="24"/>
        </w:rPr>
        <w:t>t.j</w:t>
      </w:r>
      <w:proofErr w:type="spellEnd"/>
      <w:r w:rsidR="00DE51EA" w:rsidRPr="00DE51EA">
        <w:rPr>
          <w:rFonts w:cstheme="minorHAnsi"/>
          <w:sz w:val="24"/>
          <w:szCs w:val="24"/>
        </w:rPr>
        <w:t>.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proofErr w:type="gramStart"/>
      <w:r w:rsidR="00011360" w:rsidRPr="00507BE2">
        <w:rPr>
          <w:rFonts w:cstheme="minorHAnsi"/>
          <w:sz w:val="24"/>
          <w:szCs w:val="24"/>
        </w:rPr>
        <w:t>,</w:t>
      </w:r>
      <w:r w:rsidRPr="00507BE2">
        <w:rPr>
          <w:rFonts w:cstheme="minorHAnsi"/>
          <w:sz w:val="24"/>
          <w:szCs w:val="24"/>
        </w:rPr>
        <w:t xml:space="preserve">  poz.</w:t>
      </w:r>
      <w:proofErr w:type="gramEnd"/>
      <w:r w:rsidRPr="00507BE2">
        <w:rPr>
          <w:rFonts w:cstheme="minorHAnsi"/>
          <w:sz w:val="24"/>
          <w:szCs w:val="24"/>
        </w:rPr>
        <w:t xml:space="preserve">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proofErr w:type="spellStart"/>
      <w:r w:rsidR="00E33B06">
        <w:rPr>
          <w:rFonts w:cstheme="minorHAnsi"/>
          <w:sz w:val="24"/>
          <w:szCs w:val="24"/>
        </w:rPr>
        <w:t>t.j</w:t>
      </w:r>
      <w:proofErr w:type="spellEnd"/>
      <w:r w:rsidR="00E33B06">
        <w:rPr>
          <w:rFonts w:cstheme="minorHAnsi"/>
          <w:sz w:val="24"/>
          <w:szCs w:val="24"/>
        </w:rPr>
        <w:t>.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proofErr w:type="spellStart"/>
      <w:r w:rsidRPr="00C7064F">
        <w:rPr>
          <w:rFonts w:cstheme="minorHAnsi"/>
          <w:sz w:val="24"/>
          <w:szCs w:val="24"/>
        </w:rPr>
        <w:t>t.j</w:t>
      </w:r>
      <w:proofErr w:type="spellEnd"/>
      <w:r w:rsidRPr="00C7064F">
        <w:rPr>
          <w:rFonts w:cstheme="minorHAnsi"/>
          <w:sz w:val="24"/>
          <w:szCs w:val="24"/>
        </w:rPr>
        <w:t>.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proofErr w:type="spellStart"/>
      <w:r w:rsidR="00C70695">
        <w:rPr>
          <w:rFonts w:cstheme="minorHAnsi"/>
          <w:sz w:val="24"/>
          <w:szCs w:val="24"/>
        </w:rPr>
        <w:t>t.j</w:t>
      </w:r>
      <w:proofErr w:type="spellEnd"/>
      <w:r w:rsidR="00C70695">
        <w:rPr>
          <w:rFonts w:cstheme="minorHAnsi"/>
          <w:sz w:val="24"/>
          <w:szCs w:val="24"/>
        </w:rPr>
        <w:t>.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lastRenderedPageBreak/>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w:t>
      </w:r>
      <w:proofErr w:type="gramStart"/>
      <w:r w:rsidRPr="00C7064F">
        <w:rPr>
          <w:rFonts w:cstheme="minorHAnsi"/>
          <w:sz w:val="24"/>
          <w:szCs w:val="24"/>
        </w:rPr>
        <w:t xml:space="preserve">Edukacji </w:t>
      </w:r>
      <w:r w:rsidR="00C70695">
        <w:rPr>
          <w:rFonts w:cstheme="minorHAnsi"/>
          <w:sz w:val="24"/>
          <w:szCs w:val="24"/>
        </w:rPr>
        <w:t xml:space="preserve"> i</w:t>
      </w:r>
      <w:proofErr w:type="gramEnd"/>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9 sierpnia 2017 r. w sprawie zasad organizacji i </w:t>
      </w:r>
      <w:proofErr w:type="gramStart"/>
      <w:r w:rsidRPr="00C7064F">
        <w:rPr>
          <w:rFonts w:cstheme="minorHAnsi"/>
          <w:sz w:val="24"/>
          <w:szCs w:val="24"/>
        </w:rPr>
        <w:t>udzielania  pomocy</w:t>
      </w:r>
      <w:proofErr w:type="gramEnd"/>
      <w:r w:rsidRPr="00C7064F">
        <w:rPr>
          <w:rFonts w:cstheme="minorHAnsi"/>
          <w:sz w:val="24"/>
          <w:szCs w:val="24"/>
        </w:rPr>
        <w:t xml:space="preserve">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t>
      </w:r>
      <w:proofErr w:type="gramStart"/>
      <w:r w:rsidRPr="00C7064F">
        <w:rPr>
          <w:rFonts w:cstheme="minorHAnsi"/>
          <w:sz w:val="24"/>
          <w:szCs w:val="24"/>
        </w:rPr>
        <w:t>warunków  i</w:t>
      </w:r>
      <w:proofErr w:type="gramEnd"/>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8" w:name="_Toc83209105"/>
      <w:bookmarkStart w:id="9" w:name="_Toc177046221"/>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lastRenderedPageBreak/>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0" w:name="_Toc83209106"/>
      <w:bookmarkStart w:id="11" w:name="_Toc177046222"/>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proofErr w:type="gramStart"/>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pełniący</w:t>
      </w:r>
      <w:proofErr w:type="gramEnd"/>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2" w:name="_Toc177046223"/>
      <w:r>
        <w:rPr>
          <w:rFonts w:eastAsia="Times New Roman"/>
          <w:b/>
          <w:color w:val="auto"/>
          <w:lang w:eastAsia="pl-PL"/>
        </w:rPr>
        <w:lastRenderedPageBreak/>
        <w:t>Zasady postępowania konkurencyjnego</w:t>
      </w:r>
      <w:bookmarkEnd w:id="12"/>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77046224"/>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 xml:space="preserve">wsparcia dzieci i uczniów wybitnie uzdolnionych, szczególnie z grup w niekorzystnej sytuacji, m.in. z rodzin o niskim statusie społeczno-ekonomicznym, mieszkających na obszarach zmarginalizowanych i/lub wiejskich, z rodzin </w:t>
      </w:r>
      <w:proofErr w:type="spellStart"/>
      <w:r w:rsidRPr="00F42185">
        <w:rPr>
          <w:rFonts w:eastAsia="Times New Roman"/>
          <w:lang w:eastAsia="pl-PL"/>
        </w:rPr>
        <w:t>migranckich</w:t>
      </w:r>
      <w:proofErr w:type="spellEnd"/>
      <w:r w:rsidRPr="00F42185">
        <w:rPr>
          <w:rFonts w:eastAsia="Times New Roman"/>
          <w:lang w:eastAsia="pl-PL"/>
        </w:rPr>
        <w:t xml:space="preserve">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30F4FF0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r w:rsidR="00D24E68">
        <w:rPr>
          <w:rStyle w:val="Odwoanieprzypisudolnego"/>
          <w:rFonts w:eastAsia="Times New Roman"/>
          <w:lang w:eastAsia="pl-PL"/>
        </w:rPr>
        <w:footnoteReference w:id="3"/>
      </w:r>
      <w:r w:rsidRPr="00F42185">
        <w:rPr>
          <w:rFonts w:eastAsia="Times New Roman"/>
          <w:lang w:eastAsia="pl-PL"/>
        </w:rPr>
        <w:t>.</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 xml:space="preserve">zasad projektowania uniwersalnego w nauczaniu (ULD – </w:t>
      </w:r>
      <w:proofErr w:type="spellStart"/>
      <w:r w:rsidRPr="00F42185">
        <w:rPr>
          <w:rFonts w:eastAsia="Times New Roman"/>
          <w:lang w:eastAsia="pl-PL"/>
        </w:rPr>
        <w:t>universal</w:t>
      </w:r>
      <w:proofErr w:type="spellEnd"/>
      <w:r w:rsidRPr="00F42185">
        <w:rPr>
          <w:rFonts w:eastAsia="Times New Roman"/>
          <w:lang w:eastAsia="pl-PL"/>
        </w:rPr>
        <w:t xml:space="preserve"> learning design) [3</w:t>
      </w:r>
      <w:proofErr w:type="gramStart"/>
      <w:r w:rsidRPr="00F42185">
        <w:rPr>
          <w:rFonts w:eastAsia="Times New Roman"/>
          <w:lang w:eastAsia="pl-PL"/>
        </w:rPr>
        <w:t>] .</w:t>
      </w:r>
      <w:proofErr w:type="gramEnd"/>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lastRenderedPageBreak/>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5" w:name="_Toc177046225"/>
      <w:r w:rsidRPr="00562BE6">
        <w:rPr>
          <w:b/>
          <w:color w:val="auto"/>
          <w:sz w:val="28"/>
          <w:szCs w:val="28"/>
        </w:rPr>
        <w:t>Typ beneficjenta</w:t>
      </w:r>
      <w:bookmarkEnd w:id="15"/>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6" w:name="_Toc177046226"/>
      <w:r w:rsidRPr="00562BE6">
        <w:rPr>
          <w:b/>
          <w:color w:val="auto"/>
          <w:sz w:val="28"/>
          <w:szCs w:val="28"/>
        </w:rPr>
        <w:lastRenderedPageBreak/>
        <w:t>Grupa docelowa</w:t>
      </w:r>
      <w:bookmarkEnd w:id="16"/>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7" w:name="_Toc166230978"/>
      <w:bookmarkStart w:id="18" w:name="_Toc177046227"/>
      <w:bookmarkEnd w:id="17"/>
      <w:r w:rsidR="008724B0" w:rsidRPr="00562BE6">
        <w:rPr>
          <w:b/>
          <w:color w:val="auto"/>
          <w:sz w:val="28"/>
          <w:szCs w:val="28"/>
        </w:rPr>
        <w:t>Warunki realizacji projektów</w:t>
      </w:r>
      <w:bookmarkEnd w:id="18"/>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4"/>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lastRenderedPageBreak/>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w:t>
      </w:r>
      <w:proofErr w:type="spellStart"/>
      <w:r>
        <w:t>universal</w:t>
      </w:r>
      <w:proofErr w:type="spellEnd"/>
      <w:r>
        <w:t xml:space="preserve">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w:t>
      </w:r>
      <w:r w:rsidRPr="003D7E4E">
        <w:lastRenderedPageBreak/>
        <w:t xml:space="preserve">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9" w:name="_Toc177046228"/>
      <w:r w:rsidRPr="00562BE6">
        <w:rPr>
          <w:b/>
          <w:color w:val="auto"/>
          <w:sz w:val="28"/>
          <w:szCs w:val="28"/>
        </w:rPr>
        <w:t>Termin składania wniosków</w:t>
      </w:r>
      <w:r w:rsidR="00FD2865">
        <w:rPr>
          <w:b/>
          <w:color w:val="auto"/>
          <w:sz w:val="28"/>
          <w:szCs w:val="28"/>
        </w:rPr>
        <w:t xml:space="preserve"> o dofinansowanie projektu</w:t>
      </w:r>
      <w:bookmarkEnd w:id="19"/>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4DA6015"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EA03E6">
        <w:rPr>
          <w:rFonts w:ascii="Calibri" w:eastAsia="Times New Roman" w:hAnsi="Calibri" w:cs="Times New Roman"/>
          <w:b/>
          <w:bCs/>
          <w:sz w:val="24"/>
          <w:szCs w:val="24"/>
          <w:lang w:eastAsia="pl-PL"/>
        </w:rPr>
        <w:t>30</w:t>
      </w:r>
      <w:r w:rsidR="0033792F">
        <w:rPr>
          <w:rFonts w:ascii="Calibri" w:eastAsia="Times New Roman" w:hAnsi="Calibri" w:cs="Times New Roman"/>
          <w:b/>
          <w:bCs/>
          <w:sz w:val="24"/>
          <w:szCs w:val="24"/>
          <w:lang w:eastAsia="pl-PL"/>
        </w:rPr>
        <w:t>.</w:t>
      </w:r>
      <w:r w:rsidR="006D7927">
        <w:rPr>
          <w:rFonts w:ascii="Calibri" w:eastAsia="Times New Roman" w:hAnsi="Calibri" w:cs="Times New Roman"/>
          <w:b/>
          <w:bCs/>
          <w:sz w:val="24"/>
          <w:szCs w:val="24"/>
          <w:lang w:eastAsia="pl-PL"/>
        </w:rPr>
        <w:t>10</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proofErr w:type="gramStart"/>
        <w:r w:rsidRPr="00847334">
          <w:rPr>
            <w:rFonts w:cs="Calibri"/>
            <w:color w:val="0563C1" w:themeColor="hyperlink"/>
            <w:sz w:val="24"/>
            <w:szCs w:val="24"/>
            <w:u w:val="single"/>
          </w:rPr>
          <w:t>IZ  FEO</w:t>
        </w:r>
        <w:proofErr w:type="gramEnd"/>
        <w:r w:rsidRPr="00847334">
          <w:rPr>
            <w:rFonts w:cs="Calibri"/>
            <w:color w:val="0563C1" w:themeColor="hyperlink"/>
            <w:sz w:val="24"/>
            <w:szCs w:val="24"/>
            <w:u w:val="single"/>
          </w:rPr>
          <w:t xml:space="preserve">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lastRenderedPageBreak/>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0" w:name="_Toc177046229"/>
      <w:r w:rsidRPr="00562BE6">
        <w:rPr>
          <w:rFonts w:eastAsia="Times New Roman"/>
          <w:b/>
          <w:color w:val="auto"/>
          <w:sz w:val="28"/>
          <w:szCs w:val="28"/>
          <w:lang w:eastAsia="pl-PL"/>
        </w:rPr>
        <w:t>Orientacyjny termin przeprowadzenia oceny projektów</w:t>
      </w:r>
      <w:bookmarkEnd w:id="20"/>
    </w:p>
    <w:p w14:paraId="0B0D5CBD" w14:textId="07A3A500"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523E02">
        <w:rPr>
          <w:bCs/>
          <w:sz w:val="24"/>
          <w:szCs w:val="24"/>
        </w:rPr>
        <w:t>wrzesień</w:t>
      </w:r>
      <w:r w:rsidR="00523E02" w:rsidRPr="00D60792">
        <w:rPr>
          <w:bCs/>
          <w:sz w:val="24"/>
          <w:szCs w:val="24"/>
        </w:rPr>
        <w:t xml:space="preserve">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1" w:name="_Toc177046230"/>
      <w:r>
        <w:rPr>
          <w:b/>
          <w:color w:val="auto"/>
          <w:sz w:val="28"/>
          <w:szCs w:val="28"/>
        </w:rPr>
        <w:t>Opis procedury oceny projektów</w:t>
      </w:r>
      <w:bookmarkEnd w:id="21"/>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2" w:name="_Toc177046231"/>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2"/>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1C0EF59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3"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3"/>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w terminie przeprowadzenia naboru tj. od 25.06.2024r. do</w:t>
      </w:r>
      <w:r w:rsidR="002137F5">
        <w:rPr>
          <w:rFonts w:eastAsia="Times New Roman" w:cstheme="minorHAnsi"/>
          <w:sz w:val="24"/>
          <w:szCs w:val="24"/>
          <w:lang w:eastAsia="pl-PL"/>
        </w:rPr>
        <w:t xml:space="preserve"> </w:t>
      </w:r>
      <w:r w:rsidR="004A6A93">
        <w:rPr>
          <w:rFonts w:ascii="Calibri" w:eastAsia="Times New Roman" w:hAnsi="Calibri" w:cs="Times New Roman"/>
          <w:sz w:val="24"/>
          <w:szCs w:val="24"/>
          <w:lang w:eastAsia="pl-PL"/>
        </w:rPr>
        <w:t>30</w:t>
      </w:r>
      <w:r w:rsidR="009C7382">
        <w:rPr>
          <w:rFonts w:ascii="Calibri" w:eastAsia="Times New Roman" w:hAnsi="Calibri" w:cs="Times New Roman"/>
          <w:sz w:val="24"/>
          <w:szCs w:val="24"/>
          <w:lang w:eastAsia="pl-PL"/>
        </w:rPr>
        <w:t xml:space="preserve">.10.2024 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4 pn. Roczny obrót Wnioskodawcy i Partnera/Partnerów jest równy lub wyższy od średnich rocznych wydatków w projekcie. </w:t>
      </w:r>
      <w:r>
        <w:rPr>
          <w:rFonts w:eastAsia="Times New Roman" w:cstheme="minorHAnsi"/>
          <w:sz w:val="24"/>
          <w:szCs w:val="24"/>
          <w:lang w:eastAsia="pl-PL"/>
        </w:rPr>
        <w:lastRenderedPageBreak/>
        <w:t>(nie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4" w:name="_Hlk158120540"/>
      <w:r>
        <w:rPr>
          <w:rFonts w:eastAsia="Times New Roman" w:cstheme="minorHAnsi"/>
          <w:sz w:val="24"/>
          <w:szCs w:val="24"/>
          <w:lang w:eastAsia="pl-PL"/>
        </w:rPr>
        <w:t xml:space="preserve">dokumentów potwierdzających spełnienie wymogów dotyczących wyboru Partnerów, o których </w:t>
      </w:r>
      <w:proofErr w:type="gramStart"/>
      <w:r>
        <w:rPr>
          <w:rFonts w:eastAsia="Times New Roman" w:cstheme="minorHAnsi"/>
          <w:sz w:val="24"/>
          <w:szCs w:val="24"/>
          <w:lang w:eastAsia="pl-PL"/>
        </w:rPr>
        <w:t>mowa  w</w:t>
      </w:r>
      <w:proofErr w:type="gramEnd"/>
      <w:r>
        <w:rPr>
          <w:rFonts w:eastAsia="Times New Roman" w:cstheme="minorHAnsi"/>
          <w:sz w:val="24"/>
          <w:szCs w:val="24"/>
          <w:lang w:eastAsia="pl-PL"/>
        </w:rPr>
        <w:t xml:space="preserve">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w:t>
      </w:r>
      <w:proofErr w:type="gramStart"/>
      <w:r>
        <w:rPr>
          <w:rFonts w:eastAsia="Times New Roman" w:cstheme="minorHAnsi"/>
          <w:sz w:val="24"/>
          <w:szCs w:val="24"/>
          <w:lang w:eastAsia="pl-PL"/>
        </w:rPr>
        <w:t>spełnienia  kryteriów</w:t>
      </w:r>
      <w:proofErr w:type="gramEnd"/>
      <w:r>
        <w:rPr>
          <w:rFonts w:eastAsia="Times New Roman" w:cstheme="minorHAnsi"/>
          <w:sz w:val="24"/>
          <w:szCs w:val="24"/>
          <w:lang w:eastAsia="pl-PL"/>
        </w:rPr>
        <w:t xml:space="preserve">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w:t>
      </w:r>
      <w:proofErr w:type="spellStart"/>
      <w:r w:rsidR="002946EF">
        <w:rPr>
          <w:rFonts w:eastAsia="Times New Roman" w:cstheme="minorHAnsi"/>
          <w:sz w:val="24"/>
          <w:szCs w:val="24"/>
          <w:lang w:eastAsia="pl-PL"/>
        </w:rPr>
        <w:t>tj</w:t>
      </w:r>
      <w:proofErr w:type="spellEnd"/>
      <w:r w:rsidR="002946EF">
        <w:rPr>
          <w:rFonts w:eastAsia="Times New Roman" w:cstheme="minorHAnsi"/>
          <w:sz w:val="24"/>
          <w:szCs w:val="24"/>
          <w:lang w:eastAsia="pl-PL"/>
        </w:rPr>
        <w:t>:</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w:t>
      </w:r>
      <w:proofErr w:type="gramStart"/>
      <w:r w:rsidRPr="00707476">
        <w:rPr>
          <w:rFonts w:eastAsia="Times New Roman" w:cstheme="minorHAnsi"/>
          <w:sz w:val="24"/>
          <w:szCs w:val="24"/>
          <w:lang w:eastAsia="pl-PL"/>
        </w:rPr>
        <w:t>zakresie  dostępu</w:t>
      </w:r>
      <w:proofErr w:type="gramEnd"/>
      <w:r w:rsidRPr="00707476">
        <w:rPr>
          <w:rFonts w:eastAsia="Times New Roman" w:cstheme="minorHAnsi"/>
          <w:sz w:val="24"/>
          <w:szCs w:val="24"/>
          <w:lang w:eastAsia="pl-PL"/>
        </w:rPr>
        <w:t xml:space="preserve">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4"/>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5" w:name="_Hlk150507371"/>
      <w:r>
        <w:rPr>
          <w:rFonts w:eastAsia="Times New Roman" w:cstheme="minorHAnsi"/>
          <w:sz w:val="24"/>
          <w:szCs w:val="24"/>
          <w:lang w:eastAsia="pl-PL"/>
        </w:rPr>
        <w:t>powinny zostać uwierzytelnione przez Wnioskodawcę</w:t>
      </w:r>
      <w:bookmarkEnd w:id="25"/>
      <w:r>
        <w:rPr>
          <w:rFonts w:eastAsia="Times New Roman" w:cstheme="minorHAnsi"/>
          <w:sz w:val="24"/>
          <w:szCs w:val="24"/>
          <w:lang w:eastAsia="pl-PL"/>
        </w:rPr>
        <w:t xml:space="preserve">. </w:t>
      </w:r>
      <w:bookmarkStart w:id="26"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6"/>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lastRenderedPageBreak/>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7"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7"/>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8" w:name="_Toc177046232"/>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8"/>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9" w:name="_Toc177046233"/>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9"/>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r>
      <w:r>
        <w:rPr>
          <w:rFonts w:eastAsia="Times New Roman" w:cstheme="minorHAnsi"/>
          <w:iCs/>
          <w:spacing w:val="-2"/>
          <w:sz w:val="24"/>
          <w:szCs w:val="24"/>
          <w:lang w:eastAsia="pl-PL"/>
        </w:rPr>
        <w:lastRenderedPageBreak/>
        <w:t xml:space="preserve">o skierowaniu projektu do negocjacji wraz ze wskazaniem obszarów negocjacyjnych za pośrednictwem poczty elektronicznej </w:t>
      </w:r>
      <w:proofErr w:type="gramStart"/>
      <w:r>
        <w:rPr>
          <w:rFonts w:eastAsia="Times New Roman" w:cstheme="minorHAnsi"/>
          <w:iCs/>
          <w:spacing w:val="-2"/>
          <w:sz w:val="24"/>
          <w:szCs w:val="24"/>
          <w:lang w:eastAsia="pl-PL"/>
        </w:rPr>
        <w:t>e-mail  (</w:t>
      </w:r>
      <w:proofErr w:type="gramEnd"/>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6"/>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0" w:name="_Toc177046234"/>
      <w:r w:rsidRPr="00562BE6">
        <w:rPr>
          <w:b/>
          <w:color w:val="auto"/>
          <w:sz w:val="28"/>
          <w:szCs w:val="28"/>
        </w:rPr>
        <w:t>Kryteria wyboru projektów</w:t>
      </w:r>
      <w:bookmarkEnd w:id="30"/>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lastRenderedPageBreak/>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proofErr w:type="gramStart"/>
      <w:r>
        <w:rPr>
          <w:rFonts w:eastAsia="Calibri" w:cstheme="minorHAnsi"/>
          <w:sz w:val="24"/>
          <w:szCs w:val="24"/>
          <w:lang w:eastAsia="pl-PL"/>
        </w:rPr>
        <w:t>sytuacji</w:t>
      </w:r>
      <w:proofErr w:type="gramEnd"/>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 xml:space="preserve">Ponadto na etapie weryfikacji wniosku o płatność oraz kontroli na miejscu realizacji projektu beneficjent zobowiązany jest do udowodnienia spełnienia poszczególnych kryteriów. W związku z tym, kryteria wyboru projektów ocenione na podstawie deklaracji we wniosku o </w:t>
      </w:r>
      <w:r>
        <w:rPr>
          <w:rFonts w:cstheme="minorHAnsi"/>
          <w:sz w:val="24"/>
          <w:szCs w:val="24"/>
        </w:rPr>
        <w:lastRenderedPageBreak/>
        <w:t>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1" w:name="_Toc166230987"/>
      <w:bookmarkStart w:id="32" w:name="_Toc166230988"/>
      <w:bookmarkStart w:id="33" w:name="_Toc166230989"/>
      <w:bookmarkStart w:id="34" w:name="_Toc166230990"/>
      <w:bookmarkStart w:id="35" w:name="_Toc166230991"/>
      <w:bookmarkStart w:id="36" w:name="_Toc166230992"/>
      <w:bookmarkStart w:id="37" w:name="_Toc166230993"/>
      <w:bookmarkStart w:id="38" w:name="_Toc166230994"/>
      <w:bookmarkStart w:id="39" w:name="_Toc166230995"/>
      <w:bookmarkStart w:id="40" w:name="_Toc166230996"/>
      <w:bookmarkStart w:id="41" w:name="_Toc166230997"/>
      <w:bookmarkStart w:id="42" w:name="_Toc166230998"/>
      <w:bookmarkStart w:id="43" w:name="_Toc166230999"/>
      <w:bookmarkStart w:id="44" w:name="_Toc166231000"/>
      <w:bookmarkStart w:id="45" w:name="_Toc166231001"/>
      <w:bookmarkStart w:id="46" w:name="_Toc166231002"/>
      <w:bookmarkStart w:id="47" w:name="_Toc166231003"/>
      <w:bookmarkStart w:id="48" w:name="_Toc166231004"/>
      <w:bookmarkStart w:id="49" w:name="_Toc166231005"/>
      <w:bookmarkStart w:id="50" w:name="_Toc166231006"/>
      <w:bookmarkStart w:id="51" w:name="_Toc166231007"/>
      <w:bookmarkStart w:id="52" w:name="_Toc17704623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2"/>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w:t>
      </w:r>
      <w:proofErr w:type="gramStart"/>
      <w:r>
        <w:rPr>
          <w:rFonts w:cstheme="minorHAnsi"/>
          <w:sz w:val="24"/>
          <w:szCs w:val="24"/>
        </w:rPr>
        <w:t xml:space="preserve">obejmują  </w:t>
      </w:r>
      <w:r>
        <w:rPr>
          <w:rFonts w:cstheme="minorHAnsi"/>
          <w:bCs/>
          <w:sz w:val="24"/>
          <w:szCs w:val="24"/>
        </w:rPr>
        <w:t>poprawianie</w:t>
      </w:r>
      <w:proofErr w:type="gramEnd"/>
      <w:r>
        <w:rPr>
          <w:rFonts w:cstheme="minorHAnsi"/>
          <w:bCs/>
          <w:sz w:val="24"/>
          <w:szCs w:val="24"/>
        </w:rPr>
        <w:t xml:space="preserv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3" w:name="_Toc177046236"/>
      <w:r w:rsidRPr="00F85BEB">
        <w:rPr>
          <w:rFonts w:asciiTheme="minorHAnsi" w:hAnsiTheme="minorHAnsi" w:cstheme="minorHAnsi"/>
          <w:b/>
          <w:color w:val="auto"/>
          <w:sz w:val="28"/>
          <w:szCs w:val="28"/>
        </w:rPr>
        <w:lastRenderedPageBreak/>
        <w:t>Realizacja polityk horyzontalnych, w tym zasady równości szans i niedyskryminacji</w:t>
      </w:r>
      <w:bookmarkEnd w:id="53"/>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proofErr w:type="gramStart"/>
      <w:r w:rsidRPr="00D330B6">
        <w:rPr>
          <w:rFonts w:cstheme="minorHAnsi"/>
          <w:sz w:val="24"/>
          <w:szCs w:val="24"/>
        </w:rPr>
        <w:t xml:space="preserve">zapisami  </w:t>
      </w:r>
      <w:r w:rsidRPr="00D330B6">
        <w:rPr>
          <w:rFonts w:cstheme="minorHAnsi"/>
          <w:i/>
          <w:sz w:val="24"/>
          <w:szCs w:val="24"/>
        </w:rPr>
        <w:t>Standardów</w:t>
      </w:r>
      <w:proofErr w:type="gramEnd"/>
      <w:r w:rsidRPr="00D330B6">
        <w:rPr>
          <w:rFonts w:cstheme="minorHAnsi"/>
          <w:i/>
          <w:sz w:val="24"/>
          <w:szCs w:val="24"/>
        </w:rPr>
        <w:t xml:space="preserve">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lastRenderedPageBreak/>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t>
      </w:r>
      <w:proofErr w:type="gramStart"/>
      <w:r w:rsidRPr="002C4DC4">
        <w:rPr>
          <w:rFonts w:cstheme="minorHAnsi"/>
          <w:sz w:val="24"/>
          <w:szCs w:val="24"/>
        </w:rPr>
        <w:t xml:space="preserve">www) </w:t>
      </w:r>
      <w:r w:rsidRPr="002C4DC4">
        <w:rPr>
          <w:rFonts w:cstheme="minorHAnsi"/>
        </w:rPr>
        <w:t xml:space="preserve"> itp</w:t>
      </w:r>
      <w:r>
        <w:rPr>
          <w:rFonts w:cstheme="minorHAnsi"/>
        </w:rPr>
        <w:t>.</w:t>
      </w:r>
      <w:proofErr w:type="gramEnd"/>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 xml:space="preserve">o narzędzie zapewnienia dostępności jest rozpatrywany w drugiej kolejności. Oznacza to, że na etapie </w:t>
      </w:r>
      <w:r w:rsidRPr="00367D24">
        <w:rPr>
          <w:rFonts w:cstheme="minorHAnsi"/>
          <w:sz w:val="24"/>
          <w:szCs w:val="24"/>
        </w:rPr>
        <w:lastRenderedPageBreak/>
        <w:t>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proofErr w:type="gramStart"/>
      <w:r w:rsidRPr="0032013E">
        <w:rPr>
          <w:rFonts w:cstheme="minorHAnsi"/>
          <w:sz w:val="24"/>
          <w:szCs w:val="24"/>
        </w:rPr>
        <w:t>zapewnieniem  dostępności</w:t>
      </w:r>
      <w:proofErr w:type="gramEnd"/>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4"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4"/>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5" w:name="_Toc177046237"/>
      <w:r w:rsidRPr="0054485D">
        <w:rPr>
          <w:rFonts w:asciiTheme="minorHAnsi" w:hAnsiTheme="minorHAnsi" w:cstheme="minorHAnsi"/>
          <w:b/>
          <w:color w:val="auto"/>
          <w:sz w:val="28"/>
          <w:szCs w:val="28"/>
        </w:rPr>
        <w:t>Kwota przeznaczona na dofinansowanie projektów</w:t>
      </w:r>
      <w:bookmarkEnd w:id="55"/>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628DA6A2" w:rsidR="00715A48" w:rsidRPr="000D30A8" w:rsidRDefault="00F1015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 </w:t>
      </w:r>
      <w:r w:rsidR="00CD2FC7">
        <w:rPr>
          <w:rFonts w:ascii="Calibri" w:eastAsia="Times New Roman" w:hAnsi="Calibri" w:cs="Calibri"/>
          <w:b/>
          <w:bCs/>
          <w:color w:val="000000"/>
          <w:sz w:val="24"/>
          <w:szCs w:val="24"/>
          <w:lang w:eastAsia="pl-PL"/>
        </w:rPr>
        <w:t>24 027 174,00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225C32B7"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21 498 000,00</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A78F417" w14:textId="396BF850" w:rsidR="00D14324"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2 529 174,00 </w:t>
      </w:r>
      <w:r w:rsidR="00715A48" w:rsidRPr="000D30A8">
        <w:rPr>
          <w:rFonts w:ascii="Calibri" w:eastAsia="Times New Roman" w:hAnsi="Calibri" w:cs="Calibri"/>
          <w:color w:val="000000"/>
          <w:sz w:val="24"/>
          <w:szCs w:val="24"/>
          <w:lang w:eastAsia="pl-PL"/>
        </w:rPr>
        <w:t xml:space="preserve">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w:t>
      </w:r>
      <w:proofErr w:type="gramStart"/>
      <w:r w:rsidRPr="004A69D1">
        <w:rPr>
          <w:b/>
          <w:bCs/>
          <w:sz w:val="24"/>
          <w:szCs w:val="24"/>
          <w:lang w:eastAsia="pl-PL"/>
        </w:rPr>
        <w:t>24  (</w:t>
      </w:r>
      <w:proofErr w:type="gramEnd"/>
      <w:r w:rsidR="003465BF" w:rsidRPr="004A69D1">
        <w:rPr>
          <w:b/>
          <w:sz w:val="24"/>
          <w:szCs w:val="24"/>
          <w:lang w:eastAsia="pl-PL"/>
        </w:rPr>
        <w:t xml:space="preserve">Aglomeracja </w:t>
      </w:r>
      <w:proofErr w:type="gramStart"/>
      <w:r w:rsidR="003465BF" w:rsidRPr="004A69D1">
        <w:rPr>
          <w:b/>
          <w:sz w:val="24"/>
          <w:szCs w:val="24"/>
          <w:lang w:eastAsia="pl-PL"/>
        </w:rPr>
        <w:t>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w:t>
      </w:r>
      <w:proofErr w:type="gramEnd"/>
      <w:r w:rsidR="000A6B6E">
        <w:rPr>
          <w:b/>
          <w:sz w:val="24"/>
          <w:szCs w:val="24"/>
          <w:lang w:eastAsia="pl-PL"/>
        </w:rPr>
        <w:t>8 243 764,00</w:t>
      </w:r>
      <w:r w:rsidR="003465BF" w:rsidRPr="004A69D1">
        <w:rPr>
          <w:b/>
          <w:sz w:val="24"/>
          <w:szCs w:val="24"/>
          <w:lang w:eastAsia="pl-PL"/>
        </w:rPr>
        <w:t xml:space="preserve"> </w:t>
      </w:r>
      <w:proofErr w:type="gramStart"/>
      <w:r w:rsidR="003465BF" w:rsidRPr="004A69D1">
        <w:rPr>
          <w:b/>
          <w:sz w:val="24"/>
          <w:szCs w:val="24"/>
          <w:lang w:eastAsia="pl-PL"/>
        </w:rPr>
        <w:t>PLN</w:t>
      </w:r>
      <w:r w:rsidR="003465BF" w:rsidRPr="004A69D1">
        <w:rPr>
          <w:sz w:val="24"/>
          <w:szCs w:val="24"/>
          <w:lang w:eastAsia="pl-PL"/>
        </w:rPr>
        <w:t xml:space="preserve"> </w:t>
      </w:r>
      <w:r w:rsidR="003465BF" w:rsidRPr="004A69D1">
        <w:rPr>
          <w:b/>
          <w:sz w:val="24"/>
          <w:szCs w:val="24"/>
          <w:lang w:eastAsia="pl-PL"/>
        </w:rPr>
        <w:t>:</w:t>
      </w:r>
      <w:proofErr w:type="gramEnd"/>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2CEA10EF"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867</w:t>
      </w:r>
      <w:r w:rsidR="000A6B6E">
        <w:rPr>
          <w:rFonts w:ascii="Calibri" w:eastAsia="Times New Roman" w:hAnsi="Calibri" w:cs="Calibri"/>
          <w:color w:val="000000"/>
          <w:sz w:val="24"/>
          <w:szCs w:val="24"/>
          <w:lang w:eastAsia="pl-PL"/>
        </w:rPr>
        <w:t> 764,</w:t>
      </w:r>
      <w:proofErr w:type="gramStart"/>
      <w:r w:rsidR="000A6B6E">
        <w:rPr>
          <w:rFonts w:ascii="Calibri" w:eastAsia="Times New Roman" w:hAnsi="Calibri" w:cs="Calibri"/>
          <w:color w:val="000000"/>
          <w:sz w:val="24"/>
          <w:szCs w:val="24"/>
          <w:lang w:eastAsia="pl-PL"/>
        </w:rPr>
        <w:t xml:space="preserve">00 </w:t>
      </w:r>
      <w:r w:rsidR="008E3835" w:rsidRPr="004A69D1">
        <w:rPr>
          <w:rFonts w:ascii="Calibri" w:eastAsia="Times New Roman" w:hAnsi="Calibri" w:cs="Calibri"/>
          <w:color w:val="000000"/>
          <w:sz w:val="24"/>
          <w:szCs w:val="24"/>
          <w:lang w:eastAsia="pl-PL"/>
        </w:rPr>
        <w:t xml:space="preserve"> PLN</w:t>
      </w:r>
      <w:proofErr w:type="gramEnd"/>
      <w:r w:rsidR="008E3835" w:rsidRPr="004A69D1">
        <w:rPr>
          <w:rFonts w:ascii="Calibri" w:eastAsia="Times New Roman" w:hAnsi="Calibri" w:cs="Calibri"/>
          <w:color w:val="000000"/>
          <w:sz w:val="24"/>
          <w:szCs w:val="24"/>
          <w:lang w:eastAsia="pl-PL"/>
        </w:rPr>
        <w:t xml:space="preserve"> </w:t>
      </w:r>
      <w:r w:rsidRPr="004A69D1">
        <w:rPr>
          <w:rFonts w:ascii="Calibri" w:eastAsia="Times New Roman" w:hAnsi="Calibri" w:cs="Calibri"/>
          <w:color w:val="000000"/>
          <w:sz w:val="24"/>
          <w:szCs w:val="24"/>
          <w:lang w:eastAsia="pl-PL"/>
        </w:rPr>
        <w:t>środki BP.</w:t>
      </w:r>
    </w:p>
    <w:p w14:paraId="298488D3" w14:textId="34D9DEB8"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lastRenderedPageBreak/>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 xml:space="preserve">ubregion </w:t>
      </w:r>
      <w:proofErr w:type="gramStart"/>
      <w:r w:rsidR="003465BF" w:rsidRPr="004A69D1">
        <w:rPr>
          <w:rFonts w:ascii="Calibri" w:eastAsia="Times New Roman" w:hAnsi="Calibri" w:cs="Calibri"/>
          <w:b/>
          <w:color w:val="000000"/>
          <w:sz w:val="24"/>
          <w:szCs w:val="24"/>
          <w:lang w:eastAsia="pl-PL"/>
        </w:rPr>
        <w:t>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D1432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2</w:t>
      </w:r>
      <w:proofErr w:type="gramEnd"/>
      <w:r w:rsidR="00CD2FC7">
        <w:rPr>
          <w:rFonts w:ascii="Calibri" w:eastAsia="Times New Roman" w:hAnsi="Calibri" w:cs="Calibri"/>
          <w:b/>
          <w:color w:val="000000"/>
          <w:sz w:val="24"/>
          <w:szCs w:val="24"/>
          <w:lang w:eastAsia="pl-PL"/>
        </w:rPr>
        <w:t xml:space="preserve"> 027 411,00</w:t>
      </w:r>
      <w:r w:rsidR="003465BF" w:rsidRPr="004A69D1">
        <w:rPr>
          <w:rFonts w:ascii="Calibri" w:eastAsia="Times New Roman" w:hAnsi="Calibri" w:cs="Calibri"/>
          <w:b/>
          <w:color w:val="000000"/>
          <w:sz w:val="24"/>
          <w:szCs w:val="24"/>
          <w:lang w:eastAsia="pl-PL"/>
        </w:rPr>
        <w:t xml:space="preserve"> PLN:</w:t>
      </w:r>
    </w:p>
    <w:p w14:paraId="22E5D6A6" w14:textId="25421B27"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1 814 000,00</w:t>
      </w:r>
      <w:r w:rsidRPr="004A69D1">
        <w:rPr>
          <w:rFonts w:ascii="Calibri" w:eastAsia="Times New Roman" w:hAnsi="Calibri" w:cs="Calibri"/>
          <w:color w:val="000000"/>
          <w:sz w:val="24"/>
          <w:szCs w:val="24"/>
          <w:lang w:eastAsia="pl-PL"/>
        </w:rPr>
        <w:t xml:space="preserve"> PLN środki EFS+,</w:t>
      </w:r>
    </w:p>
    <w:p w14:paraId="14D68D4A" w14:textId="3DFCB815"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213 411,00 </w:t>
      </w:r>
      <w:r w:rsidRPr="004A69D1">
        <w:rPr>
          <w:rFonts w:ascii="Calibri" w:eastAsia="Times New Roman" w:hAnsi="Calibri" w:cs="Calibri"/>
          <w:color w:val="000000"/>
          <w:sz w:val="24"/>
          <w:szCs w:val="24"/>
          <w:lang w:eastAsia="pl-PL"/>
        </w:rPr>
        <w:t>PLN środki BP.</w:t>
      </w:r>
    </w:p>
    <w:p w14:paraId="1CB57751" w14:textId="77777777" w:rsidR="00D1432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54E22139" w:rsidR="00835680" w:rsidRPr="004A69D1" w:rsidRDefault="00CD2FC7" w:rsidP="0054485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3 864 823,00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2217D33"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3 458 000,00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749D2D73"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406 823,00 </w:t>
      </w:r>
      <w:r w:rsidR="006A7878" w:rsidRPr="004A69D1">
        <w:rPr>
          <w:rFonts w:ascii="Calibri" w:eastAsia="Times New Roman" w:hAnsi="Calibri" w:cs="Calibri"/>
          <w:color w:val="000000"/>
          <w:sz w:val="24"/>
          <w:szCs w:val="24"/>
          <w:lang w:eastAsia="pl-PL"/>
        </w:rPr>
        <w:t xml:space="preserve">PLN </w:t>
      </w:r>
      <w:r w:rsidRPr="004A69D1">
        <w:rPr>
          <w:rFonts w:ascii="Calibri" w:eastAsia="Times New Roman" w:hAnsi="Calibri" w:cs="Calibri"/>
          <w:color w:val="000000"/>
          <w:sz w:val="24"/>
          <w:szCs w:val="24"/>
          <w:lang w:eastAsia="pl-PL"/>
        </w:rPr>
        <w:t>środki BP.</w:t>
      </w:r>
    </w:p>
    <w:p w14:paraId="468EC370" w14:textId="2A47A88A"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proofErr w:type="gramStart"/>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5</w:t>
      </w:r>
      <w:proofErr w:type="gramEnd"/>
      <w:r w:rsidR="00CD2FC7">
        <w:rPr>
          <w:rFonts w:ascii="Calibri" w:eastAsia="Times New Roman" w:hAnsi="Calibri" w:cs="Calibri"/>
          <w:b/>
          <w:color w:val="000000"/>
          <w:sz w:val="24"/>
          <w:szCs w:val="24"/>
          <w:lang w:eastAsia="pl-PL"/>
        </w:rPr>
        <w:t> 624 000,00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1A1988E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5 032 000,00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CB0F373"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592 000,00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4B784922"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proofErr w:type="gramStart"/>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4</w:t>
      </w:r>
      <w:proofErr w:type="gramEnd"/>
      <w:r w:rsidR="00CD2FC7">
        <w:rPr>
          <w:rFonts w:ascii="Calibri" w:eastAsia="Times New Roman" w:hAnsi="Calibri" w:cs="Calibri"/>
          <w:b/>
          <w:color w:val="000000"/>
          <w:sz w:val="24"/>
          <w:szCs w:val="24"/>
          <w:lang w:eastAsia="pl-PL"/>
        </w:rPr>
        <w:t xml:space="preserve"> 267 176,00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09A8CB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3 818 000,00</w:t>
      </w:r>
      <w:r w:rsidR="005700F7">
        <w:rPr>
          <w:rFonts w:ascii="Calibri" w:eastAsia="Times New Roman" w:hAnsi="Calibri" w:cs="Calibri"/>
          <w:color w:val="000000"/>
          <w:sz w:val="24"/>
          <w:szCs w:val="24"/>
          <w:lang w:eastAsia="pl-PL"/>
        </w:rPr>
        <w:t xml:space="preserve"> </w:t>
      </w:r>
      <w:r w:rsidR="00D475BE">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EFS+,</w:t>
      </w:r>
    </w:p>
    <w:p w14:paraId="6D2D3840" w14:textId="2240C1C1"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449 176,00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proofErr w:type="gramStart"/>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proofErr w:type="gramEnd"/>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6" w:name="_Toc17704623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6"/>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7" w:name="_Toc177046239"/>
      <w:r w:rsidRPr="00562BE6">
        <w:rPr>
          <w:b/>
          <w:color w:val="auto"/>
          <w:sz w:val="28"/>
          <w:szCs w:val="28"/>
        </w:rPr>
        <w:lastRenderedPageBreak/>
        <w:t xml:space="preserve">Maksymalna wartość </w:t>
      </w:r>
      <w:r w:rsidR="00FA0FB0">
        <w:rPr>
          <w:b/>
          <w:color w:val="auto"/>
          <w:sz w:val="28"/>
          <w:szCs w:val="28"/>
        </w:rPr>
        <w:t xml:space="preserve">dofinansowania </w:t>
      </w:r>
      <w:r w:rsidRPr="00562BE6">
        <w:rPr>
          <w:b/>
          <w:color w:val="auto"/>
          <w:sz w:val="28"/>
          <w:szCs w:val="28"/>
        </w:rPr>
        <w:t>projektu</w:t>
      </w:r>
      <w:bookmarkEnd w:id="57"/>
    </w:p>
    <w:p w14:paraId="77DD602A" w14:textId="13DA094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5AD74B8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8179EF" w:rsidRPr="00881C3C">
        <w:rPr>
          <w:color w:val="000000" w:themeColor="text1"/>
          <w:sz w:val="24"/>
          <w:szCs w:val="24"/>
          <w:lang w:eastAsia="pl-PL"/>
        </w:rPr>
        <w:t>8</w:t>
      </w:r>
      <w:r w:rsidR="002B105E">
        <w:rPr>
          <w:color w:val="000000" w:themeColor="text1"/>
          <w:sz w:val="24"/>
          <w:szCs w:val="24"/>
          <w:lang w:eastAsia="pl-PL"/>
        </w:rPr>
        <w:t xml:space="preserve"> </w:t>
      </w:r>
      <w:r w:rsidR="000A6B6E">
        <w:rPr>
          <w:color w:val="000000" w:themeColor="text1"/>
          <w:sz w:val="24"/>
          <w:szCs w:val="24"/>
          <w:lang w:eastAsia="pl-PL"/>
        </w:rPr>
        <w:t>243 764,</w:t>
      </w:r>
      <w:proofErr w:type="gramStart"/>
      <w:r w:rsidR="000A6B6E">
        <w:rPr>
          <w:color w:val="000000" w:themeColor="text1"/>
          <w:sz w:val="24"/>
          <w:szCs w:val="24"/>
          <w:lang w:eastAsia="pl-PL"/>
        </w:rPr>
        <w:t xml:space="preserve">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PLN</w:t>
      </w:r>
      <w:proofErr w:type="gramEnd"/>
      <w:r w:rsidR="006F452A" w:rsidRPr="00881C3C">
        <w:rPr>
          <w:color w:val="000000" w:themeColor="text1"/>
          <w:sz w:val="24"/>
          <w:szCs w:val="24"/>
          <w:lang w:eastAsia="pl-PL"/>
        </w:rPr>
        <w:t xml:space="preserve"> </w:t>
      </w:r>
    </w:p>
    <w:p w14:paraId="3C0D13E8" w14:textId="32EFB238"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58" w:name="_Hlk167890706"/>
      <w:r w:rsidR="00445CCA"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58"/>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CD2FC7" w:rsidRPr="0054485D">
        <w:rPr>
          <w:rFonts w:ascii="Calibri" w:eastAsia="Times New Roman" w:hAnsi="Calibri" w:cs="Calibri"/>
          <w:color w:val="000000"/>
          <w:sz w:val="24"/>
          <w:szCs w:val="24"/>
          <w:lang w:eastAsia="pl-PL"/>
        </w:rPr>
        <w:t>2 027 411,00</w:t>
      </w:r>
      <w:r w:rsidR="00CD2FC7" w:rsidRPr="004A69D1">
        <w:rPr>
          <w:rFonts w:ascii="Calibri" w:eastAsia="Times New Roman" w:hAnsi="Calibri" w:cs="Calibri"/>
          <w:b/>
          <w:color w:val="000000"/>
          <w:sz w:val="24"/>
          <w:szCs w:val="24"/>
          <w:lang w:eastAsia="pl-PL"/>
        </w:rPr>
        <w:t xml:space="preserve"> </w:t>
      </w:r>
      <w:r w:rsidR="006F452A" w:rsidRPr="00881C3C">
        <w:rPr>
          <w:color w:val="000000" w:themeColor="text1"/>
          <w:sz w:val="24"/>
          <w:szCs w:val="24"/>
          <w:lang w:eastAsia="pl-PL"/>
        </w:rPr>
        <w:t>PLN</w:t>
      </w:r>
    </w:p>
    <w:p w14:paraId="7BF33ADD" w14:textId="06E87C4C"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proofErr w:type="gramStart"/>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59" w:name="_Hlk167890780"/>
      <w:r w:rsidR="00CF46A5" w:rsidRPr="00881C3C">
        <w:rPr>
          <w:color w:val="000000" w:themeColor="text1"/>
          <w:sz w:val="24"/>
          <w:szCs w:val="24"/>
          <w:lang w:eastAsia="pl-PL"/>
        </w:rPr>
        <w:t>naboru</w:t>
      </w:r>
      <w:proofErr w:type="gramEnd"/>
      <w:r w:rsidR="00CF46A5" w:rsidRPr="00881C3C">
        <w:rPr>
          <w:color w:val="000000" w:themeColor="text1"/>
          <w:sz w:val="24"/>
          <w:szCs w:val="24"/>
          <w:lang w:eastAsia="pl-PL"/>
        </w:rPr>
        <w:t xml:space="preserve"> nr FEOP.05.10-IP.02-003/24 </w:t>
      </w:r>
      <w:bookmarkEnd w:id="59"/>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proofErr w:type="gramStart"/>
      <w:r w:rsidR="00CF46A5" w:rsidRPr="00881C3C">
        <w:rPr>
          <w:color w:val="000000" w:themeColor="text1"/>
          <w:sz w:val="24"/>
          <w:szCs w:val="24"/>
          <w:lang w:eastAsia="pl-PL"/>
        </w:rPr>
        <w:t xml:space="preserve">) </w:t>
      </w:r>
      <w:r>
        <w:rPr>
          <w:color w:val="000000" w:themeColor="text1"/>
          <w:sz w:val="24"/>
          <w:szCs w:val="24"/>
          <w:lang w:eastAsia="pl-PL"/>
        </w:rPr>
        <w:t xml:space="preserve"> -</w:t>
      </w:r>
      <w:proofErr w:type="gramEnd"/>
      <w:r w:rsidR="00CD2FC7">
        <w:rPr>
          <w:rFonts w:ascii="Calibri" w:eastAsia="Times New Roman" w:hAnsi="Calibri" w:cs="Calibri"/>
          <w:color w:val="000000"/>
          <w:sz w:val="24"/>
          <w:szCs w:val="24"/>
          <w:lang w:eastAsia="pl-PL"/>
        </w:rPr>
        <w:t>3</w:t>
      </w:r>
      <w:r>
        <w:rPr>
          <w:rFonts w:ascii="Calibri" w:eastAsia="Times New Roman" w:hAnsi="Calibri" w:cs="Calibri"/>
          <w:color w:val="000000"/>
          <w:sz w:val="24"/>
          <w:szCs w:val="24"/>
          <w:lang w:eastAsia="pl-PL"/>
        </w:rPr>
        <w:t> </w:t>
      </w:r>
      <w:r w:rsidR="00CD2FC7">
        <w:rPr>
          <w:rFonts w:ascii="Calibri" w:eastAsia="Times New Roman" w:hAnsi="Calibri" w:cs="Calibri"/>
          <w:color w:val="000000"/>
          <w:sz w:val="24"/>
          <w:szCs w:val="24"/>
          <w:lang w:eastAsia="pl-PL"/>
        </w:rPr>
        <w:t>864 823,00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29843775" w14:textId="68624CB7"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5 624 000,00 </w:t>
      </w:r>
      <w:r w:rsidR="00D452E3" w:rsidRPr="00881C3C">
        <w:rPr>
          <w:color w:val="000000" w:themeColor="text1"/>
          <w:sz w:val="24"/>
          <w:szCs w:val="24"/>
          <w:lang w:eastAsia="pl-PL"/>
        </w:rPr>
        <w:t>PLN</w:t>
      </w:r>
    </w:p>
    <w:p w14:paraId="53E085BB" w14:textId="1E2606BD"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proofErr w:type="gramStart"/>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4</w:t>
      </w:r>
      <w:proofErr w:type="gramEnd"/>
      <w:r w:rsidR="00CD2FC7">
        <w:rPr>
          <w:rFonts w:ascii="Calibri" w:eastAsia="Times New Roman" w:hAnsi="Calibri" w:cs="Calibri"/>
          <w:color w:val="000000"/>
          <w:sz w:val="24"/>
          <w:szCs w:val="24"/>
          <w:lang w:eastAsia="pl-PL"/>
        </w:rPr>
        <w:t xml:space="preserve"> 267 176,00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0" w:name="_Toc177046240"/>
      <w:r w:rsidRPr="00562BE6">
        <w:rPr>
          <w:b/>
          <w:color w:val="auto"/>
          <w:sz w:val="28"/>
          <w:szCs w:val="28"/>
        </w:rPr>
        <w:t>Maksymalny dopuszczalny poziom dofinansowania projektu</w:t>
      </w:r>
      <w:bookmarkEnd w:id="60"/>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8D35757"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1" w:name="_Toc177046241"/>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1"/>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2" w:name="_Toc177046242"/>
      <w:r w:rsidRPr="00E72F04">
        <w:rPr>
          <w:b/>
          <w:color w:val="auto"/>
          <w:sz w:val="28"/>
          <w:szCs w:val="28"/>
        </w:rPr>
        <w:t>Minimalny wkład własny beneficjenta</w:t>
      </w:r>
      <w:bookmarkEnd w:id="6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3" w:name="_Toc177046243"/>
      <w:r w:rsidRPr="00E72F04">
        <w:rPr>
          <w:b/>
          <w:color w:val="auto"/>
          <w:sz w:val="28"/>
          <w:szCs w:val="28"/>
        </w:rPr>
        <w:lastRenderedPageBreak/>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3"/>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4" w:name="_Toc27731399"/>
      <w:bookmarkStart w:id="65" w:name="_Toc177046244"/>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proofErr w:type="gramStart"/>
      <w:r w:rsidRPr="00A10D99">
        <w:rPr>
          <w:b/>
          <w:color w:val="auto"/>
          <w:sz w:val="28"/>
          <w:szCs w:val="28"/>
        </w:rPr>
        <w:t>rodzaj  i</w:t>
      </w:r>
      <w:proofErr w:type="gramEnd"/>
      <w:r w:rsidRPr="00A10D99">
        <w:rPr>
          <w:b/>
          <w:color w:val="auto"/>
          <w:sz w:val="28"/>
          <w:szCs w:val="28"/>
        </w:rPr>
        <w:t xml:space="preserve"> przeznaczenie pomocy, unijna lub krajowa podstawa prawna)</w:t>
      </w:r>
      <w:bookmarkEnd w:id="64"/>
      <w:bookmarkEnd w:id="65"/>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6" w:name="_Toc177046245"/>
      <w:r w:rsidRPr="00E72F04">
        <w:rPr>
          <w:rFonts w:cstheme="majorHAnsi"/>
          <w:b/>
          <w:color w:val="auto"/>
          <w:sz w:val="28"/>
          <w:szCs w:val="28"/>
        </w:rPr>
        <w:t>Wskaźniki produktu i rezultatu</w:t>
      </w:r>
      <w:bookmarkEnd w:id="66"/>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7" w:name="_Toc166231019"/>
      <w:bookmarkStart w:id="68" w:name="_Toc166231020"/>
      <w:bookmarkStart w:id="69" w:name="_Toc166231021"/>
      <w:bookmarkStart w:id="70" w:name="_Toc166231022"/>
      <w:bookmarkStart w:id="71" w:name="_Toc166231023"/>
      <w:bookmarkStart w:id="72" w:name="_Toc166231024"/>
      <w:bookmarkStart w:id="73" w:name="_Toc166231025"/>
      <w:bookmarkStart w:id="74" w:name="_Toc166231026"/>
      <w:bookmarkStart w:id="75" w:name="_Toc166231027"/>
      <w:bookmarkStart w:id="76" w:name="_Toc166231028"/>
      <w:bookmarkStart w:id="77" w:name="_Toc166231029"/>
      <w:bookmarkEnd w:id="67"/>
      <w:bookmarkEnd w:id="68"/>
      <w:bookmarkEnd w:id="69"/>
      <w:bookmarkEnd w:id="70"/>
      <w:bookmarkEnd w:id="71"/>
      <w:bookmarkEnd w:id="72"/>
      <w:bookmarkEnd w:id="73"/>
      <w:bookmarkEnd w:id="74"/>
      <w:bookmarkEnd w:id="75"/>
      <w:bookmarkEnd w:id="76"/>
      <w:bookmarkEnd w:id="77"/>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7"/>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w:t>
      </w:r>
      <w:proofErr w:type="gramStart"/>
      <w:r>
        <w:rPr>
          <w:rFonts w:eastAsia="Calibri" w:cstheme="minorHAnsi"/>
          <w:sz w:val="24"/>
          <w:szCs w:val="24"/>
        </w:rPr>
        <w:t>o  załączniki</w:t>
      </w:r>
      <w:proofErr w:type="gramEnd"/>
      <w:r>
        <w:rPr>
          <w:rFonts w:eastAsia="Calibri" w:cstheme="minorHAnsi"/>
          <w:sz w:val="24"/>
          <w:szCs w:val="24"/>
        </w:rPr>
        <w:t xml:space="preserve">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 xml:space="preserve">stanowiące integralną część </w:t>
      </w:r>
      <w:r>
        <w:rPr>
          <w:rFonts w:eastAsia="Calibri" w:cstheme="minorHAnsi"/>
          <w:sz w:val="24"/>
          <w:szCs w:val="24"/>
        </w:rPr>
        <w:lastRenderedPageBreak/>
        <w:t>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w:t>
      </w:r>
      <w:proofErr w:type="gramStart"/>
      <w:r>
        <w:rPr>
          <w:rFonts w:eastAsia="Times New Roman" w:cstheme="minorHAnsi"/>
          <w:iCs/>
          <w:color w:val="000000"/>
          <w:sz w:val="24"/>
          <w:szCs w:val="24"/>
        </w:rPr>
        <w:t>się  w</w:t>
      </w:r>
      <w:proofErr w:type="gramEnd"/>
      <w:r>
        <w:rPr>
          <w:rFonts w:eastAsia="Times New Roman" w:cstheme="minorHAnsi"/>
          <w:iCs/>
          <w:color w:val="000000"/>
          <w:sz w:val="24"/>
          <w:szCs w:val="24"/>
        </w:rPr>
        <w:t xml:space="preserve">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lastRenderedPageBreak/>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0" w:name="_Toc177046246"/>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0"/>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1" w:name="_Toc177046247"/>
      <w:r w:rsidRPr="00E72F04">
        <w:rPr>
          <w:b/>
          <w:color w:val="auto"/>
          <w:sz w:val="28"/>
          <w:szCs w:val="28"/>
        </w:rPr>
        <w:t>Informacja o przysługujących wnioskodawcy środkach odwoławczych oraz instytucji właściwej do ich rozpatrzenia</w:t>
      </w:r>
      <w:bookmarkEnd w:id="81"/>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proofErr w:type="gramStart"/>
      <w:r>
        <w:rPr>
          <w:rFonts w:cstheme="minorHAnsi"/>
          <w:iCs/>
          <w:color w:val="000000"/>
          <w:sz w:val="24"/>
          <w:szCs w:val="24"/>
        </w:rPr>
        <w:t>nie wybraniu</w:t>
      </w:r>
      <w:proofErr w:type="gramEnd"/>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w:t>
      </w:r>
      <w:r>
        <w:rPr>
          <w:rFonts w:cstheme="minorHAnsi"/>
          <w:iCs/>
          <w:color w:val="000000"/>
          <w:sz w:val="24"/>
          <w:szCs w:val="24"/>
        </w:rPr>
        <w:lastRenderedPageBreak/>
        <w:t xml:space="preserve">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2" w:name="_Toc177046248"/>
      <w:r w:rsidRPr="00E72F04">
        <w:rPr>
          <w:b/>
          <w:color w:val="auto"/>
          <w:sz w:val="28"/>
          <w:szCs w:val="28"/>
        </w:rPr>
        <w:t>Sposób udzielania wnioskodawcy wyjaśnień w kwestiach dotyczących postępowania</w:t>
      </w:r>
      <w:bookmarkEnd w:id="82"/>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7"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8"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19"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proofErr w:type="gramStart"/>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w:t>
      </w:r>
      <w:proofErr w:type="gramEnd"/>
      <w:r w:rsidR="00881C3C">
        <w:rPr>
          <w:sz w:val="24"/>
          <w:szCs w:val="24"/>
        </w:rPr>
        <w:t xml:space="preserve">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0"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3" w:name="_Toc177046249"/>
      <w:r w:rsidRPr="00E72F04">
        <w:rPr>
          <w:b/>
          <w:color w:val="auto"/>
          <w:sz w:val="28"/>
          <w:szCs w:val="28"/>
        </w:rPr>
        <w:lastRenderedPageBreak/>
        <w:t>Kwalifikowalność wydatków</w:t>
      </w:r>
      <w:bookmarkEnd w:id="83"/>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r>
      <w:r>
        <w:rPr>
          <w:rFonts w:cstheme="minorHAnsi"/>
          <w:sz w:val="24"/>
          <w:szCs w:val="24"/>
        </w:rPr>
        <w:lastRenderedPageBreak/>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4" w:name="_Toc177046250"/>
      <w:r w:rsidRPr="00E72F04">
        <w:rPr>
          <w:b/>
          <w:color w:val="auto"/>
          <w:sz w:val="28"/>
          <w:szCs w:val="28"/>
        </w:rPr>
        <w:t>Uproszczone formy rozliczania wydatków</w:t>
      </w:r>
      <w:bookmarkEnd w:id="84"/>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r>
      <w:r>
        <w:rPr>
          <w:rFonts w:cstheme="minorHAnsi"/>
          <w:b/>
          <w:sz w:val="24"/>
          <w:szCs w:val="24"/>
        </w:rPr>
        <w:lastRenderedPageBreak/>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proofErr w:type="gramStart"/>
      <w:r w:rsidRPr="00D521A5">
        <w:rPr>
          <w:rFonts w:cstheme="minorHAnsi"/>
          <w:b/>
          <w:bCs/>
          <w:sz w:val="24"/>
          <w:szCs w:val="24"/>
        </w:rPr>
        <w:t>regulaminem  niezależnie</w:t>
      </w:r>
      <w:proofErr w:type="gramEnd"/>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5" w:name="_Toc177046251"/>
      <w:r w:rsidRPr="00E72F04">
        <w:rPr>
          <w:b/>
          <w:color w:val="auto"/>
          <w:sz w:val="28"/>
          <w:szCs w:val="28"/>
        </w:rPr>
        <w:t>Partnerstwo w projekcie</w:t>
      </w:r>
      <w:bookmarkEnd w:id="8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lastRenderedPageBreak/>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lastRenderedPageBreak/>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6" w:name="_Toc166231037"/>
      <w:bookmarkStart w:id="87" w:name="_Toc166231038"/>
      <w:bookmarkStart w:id="88" w:name="_Toc166231039"/>
      <w:bookmarkStart w:id="89" w:name="_Toc166231040"/>
      <w:bookmarkStart w:id="90" w:name="_Toc166231041"/>
      <w:bookmarkStart w:id="91" w:name="_Toc166231042"/>
      <w:bookmarkStart w:id="92" w:name="_Toc166231043"/>
      <w:bookmarkStart w:id="93" w:name="_Toc166231044"/>
      <w:bookmarkStart w:id="94" w:name="_Toc166231045"/>
      <w:bookmarkStart w:id="95" w:name="_Toc166231046"/>
      <w:bookmarkStart w:id="96" w:name="_Toc166231047"/>
      <w:bookmarkStart w:id="97" w:name="_Toc166231048"/>
      <w:bookmarkStart w:id="98" w:name="_Toc166231049"/>
      <w:bookmarkStart w:id="99" w:name="_Toc166231050"/>
      <w:bookmarkStart w:id="100" w:name="_Toc166231051"/>
      <w:bookmarkStart w:id="101" w:name="_Toc166231052"/>
      <w:bookmarkStart w:id="102" w:name="_Toc166231053"/>
      <w:bookmarkStart w:id="103" w:name="_Toc166231054"/>
      <w:bookmarkStart w:id="104" w:name="_Toc166231055"/>
      <w:bookmarkStart w:id="105" w:name="_Toc166231056"/>
      <w:bookmarkStart w:id="106" w:name="_Toc166231057"/>
      <w:bookmarkStart w:id="107" w:name="_Toc166231058"/>
      <w:bookmarkStart w:id="108" w:name="_Toc166231059"/>
      <w:bookmarkStart w:id="109" w:name="_Toc166231060"/>
      <w:bookmarkStart w:id="110" w:name="_Toc166231061"/>
      <w:bookmarkStart w:id="111" w:name="_Toc17704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1"/>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2" w:name="_Toc83209130"/>
      <w:bookmarkStart w:id="113" w:name="_Toc177046253"/>
      <w:r w:rsidRPr="003037A9">
        <w:rPr>
          <w:rFonts w:eastAsia="Times New Roman"/>
          <w:b/>
          <w:color w:val="auto"/>
          <w:sz w:val="28"/>
          <w:szCs w:val="28"/>
          <w:lang w:eastAsia="pl-PL"/>
        </w:rPr>
        <w:t xml:space="preserve">Sposób podania do publicznej wiadomości wyników </w:t>
      </w:r>
      <w:bookmarkEnd w:id="112"/>
      <w:r w:rsidRPr="003037A9">
        <w:rPr>
          <w:rFonts w:eastAsia="Times New Roman"/>
          <w:b/>
          <w:color w:val="auto"/>
          <w:sz w:val="28"/>
          <w:szCs w:val="28"/>
          <w:lang w:eastAsia="pl-PL"/>
        </w:rPr>
        <w:t>postępowania konkurencyjnego</w:t>
      </w:r>
      <w:bookmarkEnd w:id="113"/>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3" w:history="1">
        <w:r>
          <w:rPr>
            <w:rStyle w:val="Hipercze"/>
            <w:rFonts w:cstheme="minorHAnsi"/>
            <w:sz w:val="24"/>
            <w:szCs w:val="24"/>
          </w:rPr>
          <w:t>IZ FEO 2021-2027</w:t>
        </w:r>
      </w:hyperlink>
      <w:r>
        <w:rPr>
          <w:rFonts w:cstheme="minorHAnsi"/>
          <w:sz w:val="24"/>
          <w:szCs w:val="24"/>
        </w:rPr>
        <w:t xml:space="preserve"> oraz na </w:t>
      </w:r>
      <w:hyperlink r:id="rId2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5" w:history="1">
        <w:r>
          <w:rPr>
            <w:rStyle w:val="Hipercze"/>
            <w:rFonts w:cstheme="minorHAnsi"/>
            <w:sz w:val="24"/>
            <w:szCs w:val="24"/>
          </w:rPr>
          <w:t>IZ FEO 2021-2027</w:t>
        </w:r>
      </w:hyperlink>
      <w:r>
        <w:rPr>
          <w:rFonts w:cstheme="minorHAnsi"/>
          <w:sz w:val="24"/>
          <w:szCs w:val="24"/>
        </w:rPr>
        <w:t xml:space="preserve"> oraz na </w:t>
      </w:r>
      <w:hyperlink r:id="rId2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r>
      <w:r>
        <w:rPr>
          <w:rFonts w:cstheme="minorHAnsi"/>
          <w:sz w:val="24"/>
          <w:szCs w:val="24"/>
          <w:lang w:eastAsia="pl-PL"/>
        </w:rPr>
        <w:lastRenderedPageBreak/>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r>
      <w:r>
        <w:rPr>
          <w:rFonts w:cstheme="minorHAnsi"/>
          <w:sz w:val="24"/>
          <w:szCs w:val="24"/>
        </w:rPr>
        <w:lastRenderedPageBreak/>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4" w:name="_Toc166231064"/>
      <w:bookmarkStart w:id="115" w:name="_Toc166231065"/>
      <w:bookmarkStart w:id="116" w:name="_Toc166231066"/>
      <w:bookmarkStart w:id="117" w:name="_Toc166231067"/>
      <w:bookmarkStart w:id="118" w:name="_Toc166231068"/>
      <w:bookmarkStart w:id="119" w:name="_Toc166231069"/>
      <w:bookmarkStart w:id="120" w:name="_Toc166231070"/>
      <w:bookmarkStart w:id="121" w:name="_Toc166231071"/>
      <w:bookmarkStart w:id="122" w:name="_Toc166231072"/>
      <w:bookmarkStart w:id="123" w:name="_Toc166231073"/>
      <w:bookmarkStart w:id="124" w:name="_Toc166231074"/>
      <w:bookmarkStart w:id="125" w:name="_Toc166231075"/>
      <w:bookmarkStart w:id="126" w:name="_Toc177046254"/>
      <w:bookmarkEnd w:id="114"/>
      <w:bookmarkEnd w:id="115"/>
      <w:bookmarkEnd w:id="116"/>
      <w:bookmarkEnd w:id="117"/>
      <w:bookmarkEnd w:id="118"/>
      <w:bookmarkEnd w:id="119"/>
      <w:bookmarkEnd w:id="120"/>
      <w:bookmarkEnd w:id="121"/>
      <w:bookmarkEnd w:id="122"/>
      <w:bookmarkEnd w:id="123"/>
      <w:bookmarkEnd w:id="124"/>
      <w:bookmarkEnd w:id="125"/>
      <w:r w:rsidRPr="00264115">
        <w:rPr>
          <w:b/>
          <w:color w:val="auto"/>
          <w:sz w:val="28"/>
          <w:szCs w:val="28"/>
        </w:rPr>
        <w:t>Unieważnienie postępowania w zakresie wyboru projektów</w:t>
      </w:r>
      <w:bookmarkEnd w:id="126"/>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7" w:name="_Toc137645468"/>
      <w:bookmarkStart w:id="128" w:name="_Toc177046255"/>
      <w:r w:rsidRPr="009C7741">
        <w:rPr>
          <w:b/>
          <w:color w:val="auto"/>
          <w:sz w:val="28"/>
          <w:szCs w:val="28"/>
        </w:rPr>
        <w:lastRenderedPageBreak/>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7"/>
      <w:bookmarkEnd w:id="128"/>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35"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w:t>
      </w:r>
      <w:proofErr w:type="gramStart"/>
      <w:r>
        <w:rPr>
          <w:rFonts w:cstheme="minorHAnsi"/>
          <w:sz w:val="24"/>
          <w:szCs w:val="24"/>
        </w:rPr>
        <w:t>( Elektroniczna</w:t>
      </w:r>
      <w:proofErr w:type="gramEnd"/>
      <w:r>
        <w:rPr>
          <w:rFonts w:cstheme="minorHAnsi"/>
          <w:sz w:val="24"/>
          <w:szCs w:val="24"/>
        </w:rPr>
        <w:t xml:space="preserve"> Skrzynka Podawcza: /RPO/</w:t>
      </w:r>
      <w:proofErr w:type="spellStart"/>
      <w:proofErr w:type="gramStart"/>
      <w:r>
        <w:rPr>
          <w:rFonts w:cstheme="minorHAnsi"/>
          <w:sz w:val="24"/>
          <w:szCs w:val="24"/>
        </w:rPr>
        <w:t>SkrytkaESP</w:t>
      </w:r>
      <w:proofErr w:type="spellEnd"/>
      <w:r>
        <w:rPr>
          <w:rFonts w:cstheme="minorHAnsi"/>
          <w:sz w:val="24"/>
          <w:szCs w:val="24"/>
        </w:rPr>
        <w:t xml:space="preserve"> )</w:t>
      </w:r>
      <w:proofErr w:type="gramEnd"/>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Pr="005602CD">
        <w:rPr>
          <w:rFonts w:cstheme="minorHAnsi"/>
          <w:sz w:val="24"/>
          <w:szCs w:val="24"/>
        </w:rPr>
        <w:t>t.j</w:t>
      </w:r>
      <w:proofErr w:type="spellEnd"/>
      <w:r w:rsidRPr="005602CD">
        <w:rPr>
          <w:rFonts w:cstheme="minorHAnsi"/>
          <w:sz w:val="24"/>
          <w:szCs w:val="24"/>
        </w:rPr>
        <w:t>.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w:t>
      </w:r>
      <w:r>
        <w:rPr>
          <w:rFonts w:cstheme="minorHAnsi"/>
          <w:sz w:val="24"/>
          <w:szCs w:val="24"/>
        </w:rPr>
        <w:lastRenderedPageBreak/>
        <w:t xml:space="preserve">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29" w:name="_Toc177046256"/>
      <w:r>
        <w:rPr>
          <w:b/>
          <w:color w:val="auto"/>
        </w:rPr>
        <w:t>Wykaz z</w:t>
      </w:r>
      <w:r w:rsidR="00663B75" w:rsidRPr="00663B75">
        <w:rPr>
          <w:b/>
          <w:color w:val="auto"/>
        </w:rPr>
        <w:t>ałącznik</w:t>
      </w:r>
      <w:r>
        <w:rPr>
          <w:b/>
          <w:color w:val="auto"/>
        </w:rPr>
        <w:t>ów</w:t>
      </w:r>
      <w:bookmarkEnd w:id="12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0" w:name="_Toc177046257"/>
      <w:r w:rsidRPr="00FA3D81">
        <w:rPr>
          <w:b/>
          <w:color w:val="auto"/>
        </w:rPr>
        <w:t>Inne dokumenty obowiązujące w naborze</w:t>
      </w:r>
      <w:bookmarkEnd w:id="130"/>
    </w:p>
    <w:p w14:paraId="391F3C6E" w14:textId="02D91FEC" w:rsidR="00B67D2E" w:rsidRPr="00642527" w:rsidRDefault="00B67D2E" w:rsidP="00B67D2E">
      <w:pPr>
        <w:pStyle w:val="Akapitzlist"/>
        <w:numPr>
          <w:ilvl w:val="0"/>
          <w:numId w:val="99"/>
        </w:numPr>
        <w:spacing w:after="0" w:line="276" w:lineRule="auto"/>
        <w:rPr>
          <w:rFonts w:cstheme="minorHAnsi"/>
          <w:sz w:val="24"/>
          <w:szCs w:val="24"/>
        </w:rPr>
      </w:pPr>
      <w:hyperlink r:id="rId36" w:history="1">
        <w:r w:rsidRPr="00642527">
          <w:rPr>
            <w:sz w:val="24"/>
            <w:szCs w:val="24"/>
            <w:u w:val="single"/>
          </w:rPr>
          <w:t>Regulamin pracy Komisji Oceny Projektów oceniającej projekty w ramach EFS+ programu regionalnego FEO 2021-2027 dotyczący postępowania konkurencyjnego wersja nr 2</w:t>
        </w:r>
        <w:r w:rsidRPr="00642527">
          <w:rPr>
            <w:sz w:val="24"/>
            <w:szCs w:val="24"/>
          </w:rPr>
          <w:t xml:space="preserve"> z 25 marca 2024r.</w:t>
        </w:r>
      </w:hyperlink>
    </w:p>
    <w:p w14:paraId="6102D18C" w14:textId="5041AB21" w:rsidR="0010592F" w:rsidRPr="007D4E4E" w:rsidRDefault="0010592F" w:rsidP="00E2200C">
      <w:pPr>
        <w:pStyle w:val="Akapitzlist"/>
        <w:numPr>
          <w:ilvl w:val="0"/>
          <w:numId w:val="99"/>
        </w:numPr>
        <w:rPr>
          <w:sz w:val="24"/>
          <w:szCs w:val="24"/>
        </w:rPr>
      </w:pPr>
      <w:hyperlink r:id="rId37" w:history="1">
        <w:r w:rsidRPr="00642527">
          <w:rPr>
            <w:rStyle w:val="Hipercze"/>
            <w:color w:val="auto"/>
            <w:sz w:val="24"/>
            <w:szCs w:val="24"/>
          </w:rPr>
          <w:t>Wytyczne dotyczące realizacji projektów z udziałem środków Europejskiego Funduszu Społecznego Plus w regionalnych programach na lata 2021–2027</w:t>
        </w:r>
      </w:hyperlink>
      <w:r w:rsidRPr="007D4E4E">
        <w:rPr>
          <w:sz w:val="24"/>
          <w:szCs w:val="24"/>
        </w:rPr>
        <w:t xml:space="preserve"> z </w:t>
      </w:r>
      <w:r w:rsidR="003F2479" w:rsidRPr="007D4E4E">
        <w:rPr>
          <w:sz w:val="24"/>
          <w:szCs w:val="24"/>
        </w:rPr>
        <w:t>6 grudnia</w:t>
      </w:r>
      <w:r w:rsidRPr="007D4E4E">
        <w:rPr>
          <w:sz w:val="24"/>
          <w:szCs w:val="24"/>
        </w:rPr>
        <w:t xml:space="preserve"> 2023 r.</w:t>
      </w:r>
    </w:p>
    <w:p w14:paraId="442DDCAC" w14:textId="146F8AE4" w:rsidR="0010592F" w:rsidRPr="00642527" w:rsidRDefault="0010592F" w:rsidP="00E2200C">
      <w:pPr>
        <w:pStyle w:val="Akapitzlist"/>
        <w:numPr>
          <w:ilvl w:val="0"/>
          <w:numId w:val="99"/>
        </w:numPr>
        <w:spacing w:before="12" w:after="0" w:line="276" w:lineRule="auto"/>
        <w:rPr>
          <w:sz w:val="24"/>
          <w:szCs w:val="24"/>
        </w:rPr>
      </w:pPr>
      <w:hyperlink r:id="rId38" w:history="1">
        <w:r w:rsidRPr="00642527">
          <w:rPr>
            <w:rStyle w:val="Hipercze"/>
            <w:color w:val="auto"/>
            <w:sz w:val="24"/>
            <w:szCs w:val="24"/>
          </w:rPr>
          <w:t>Wytyczne dotyczące wyboru projektów na lata 2021-2027</w:t>
        </w:r>
      </w:hyperlink>
      <w:r w:rsidRPr="00642527">
        <w:rPr>
          <w:sz w:val="24"/>
          <w:szCs w:val="24"/>
        </w:rPr>
        <w:t xml:space="preserve"> z 12 października 2022 r.</w:t>
      </w:r>
    </w:p>
    <w:p w14:paraId="2E779325" w14:textId="77777777" w:rsidR="0010592F" w:rsidRPr="00642527" w:rsidRDefault="0010592F" w:rsidP="00E2200C">
      <w:pPr>
        <w:pStyle w:val="Akapitzlist"/>
        <w:numPr>
          <w:ilvl w:val="0"/>
          <w:numId w:val="99"/>
        </w:numPr>
        <w:spacing w:before="12" w:after="0" w:line="276" w:lineRule="auto"/>
        <w:rPr>
          <w:sz w:val="24"/>
          <w:szCs w:val="24"/>
        </w:rPr>
      </w:pPr>
      <w:hyperlink r:id="rId39" w:history="1">
        <w:r w:rsidRPr="00642527">
          <w:rPr>
            <w:rStyle w:val="Hipercze"/>
            <w:color w:val="auto"/>
            <w:sz w:val="24"/>
            <w:szCs w:val="24"/>
          </w:rPr>
          <w:t>Wytyczne dotyczące kwalifikowalności wydatków na lata 2021-2027</w:t>
        </w:r>
      </w:hyperlink>
      <w:r w:rsidRPr="00642527">
        <w:rPr>
          <w:sz w:val="24"/>
          <w:szCs w:val="24"/>
        </w:rPr>
        <w:t xml:space="preserve"> z 18 listopada 2022 r.</w:t>
      </w:r>
    </w:p>
    <w:p w14:paraId="3C54B20E" w14:textId="77777777" w:rsidR="0010592F" w:rsidRPr="00642527" w:rsidRDefault="0010592F" w:rsidP="00E2200C">
      <w:pPr>
        <w:pStyle w:val="Akapitzlist"/>
        <w:numPr>
          <w:ilvl w:val="0"/>
          <w:numId w:val="99"/>
        </w:numPr>
        <w:spacing w:before="12" w:after="0" w:line="276" w:lineRule="auto"/>
        <w:rPr>
          <w:sz w:val="24"/>
          <w:szCs w:val="24"/>
        </w:rPr>
      </w:pPr>
      <w:hyperlink r:id="rId40" w:history="1">
        <w:r w:rsidRPr="00642527">
          <w:rPr>
            <w:rStyle w:val="Hipercze"/>
            <w:color w:val="auto"/>
            <w:sz w:val="24"/>
            <w:szCs w:val="24"/>
          </w:rPr>
          <w:t>Wytyczne dotyczące realizacji zasad równościowych w ramach funduszy unijnych na lata 2021-2027</w:t>
        </w:r>
      </w:hyperlink>
      <w:r w:rsidRPr="00642527">
        <w:rPr>
          <w:sz w:val="24"/>
          <w:szCs w:val="24"/>
        </w:rPr>
        <w:t xml:space="preserve"> z 29 grudnia 2022 r.</w:t>
      </w:r>
    </w:p>
    <w:p w14:paraId="183FA518" w14:textId="4A56C9AE" w:rsidR="0010592F" w:rsidRPr="00642527" w:rsidRDefault="0010592F" w:rsidP="00E2200C">
      <w:pPr>
        <w:pStyle w:val="Akapitzlist"/>
        <w:numPr>
          <w:ilvl w:val="0"/>
          <w:numId w:val="99"/>
        </w:numPr>
        <w:spacing w:before="12" w:after="0" w:line="276" w:lineRule="auto"/>
        <w:rPr>
          <w:sz w:val="24"/>
          <w:szCs w:val="24"/>
        </w:rPr>
      </w:pPr>
      <w:hyperlink r:id="rId41" w:history="1">
        <w:r w:rsidRPr="00642527">
          <w:rPr>
            <w:rStyle w:val="Hipercze"/>
            <w:color w:val="auto"/>
            <w:sz w:val="24"/>
            <w:szCs w:val="24"/>
          </w:rPr>
          <w:t>Wytyczne dotyczące informacji i promocji Funduszy Europejskich na lata 2021-2027</w:t>
        </w:r>
      </w:hyperlink>
      <w:r w:rsidRPr="00642527">
        <w:rPr>
          <w:sz w:val="24"/>
          <w:szCs w:val="24"/>
        </w:rPr>
        <w:t xml:space="preserve"> z 19 kwietnia 2023 r.</w:t>
      </w:r>
    </w:p>
    <w:p w14:paraId="5CAD53AC" w14:textId="77777777" w:rsidR="0010592F" w:rsidRPr="00642527" w:rsidRDefault="0010592F" w:rsidP="00E2200C">
      <w:pPr>
        <w:pStyle w:val="Akapitzlist"/>
        <w:numPr>
          <w:ilvl w:val="0"/>
          <w:numId w:val="99"/>
        </w:numPr>
        <w:spacing w:before="12" w:after="0" w:line="276" w:lineRule="auto"/>
        <w:rPr>
          <w:sz w:val="24"/>
          <w:szCs w:val="24"/>
        </w:rPr>
      </w:pPr>
      <w:hyperlink r:id="rId42" w:history="1">
        <w:r w:rsidRPr="00642527">
          <w:rPr>
            <w:rStyle w:val="Hipercze"/>
            <w:color w:val="auto"/>
            <w:sz w:val="24"/>
            <w:szCs w:val="24"/>
          </w:rPr>
          <w:t>Wytyczne dotyczące monitorowania postępu rzeczowego realizacji programów na lata 2021-2027</w:t>
        </w:r>
      </w:hyperlink>
      <w:r w:rsidRPr="00642527">
        <w:rPr>
          <w:sz w:val="24"/>
          <w:szCs w:val="24"/>
        </w:rPr>
        <w:t xml:space="preserve"> z 12 października 2022 r.</w:t>
      </w:r>
    </w:p>
    <w:p w14:paraId="5CD99A54" w14:textId="77777777" w:rsidR="0010592F" w:rsidRPr="00642527" w:rsidRDefault="0010592F" w:rsidP="00E2200C">
      <w:pPr>
        <w:pStyle w:val="Akapitzlist"/>
        <w:numPr>
          <w:ilvl w:val="0"/>
          <w:numId w:val="99"/>
        </w:numPr>
        <w:spacing w:before="12" w:after="0" w:line="276" w:lineRule="auto"/>
        <w:rPr>
          <w:sz w:val="24"/>
          <w:szCs w:val="24"/>
        </w:rPr>
      </w:pPr>
      <w:hyperlink r:id="rId43" w:history="1">
        <w:r w:rsidRPr="00642527">
          <w:rPr>
            <w:rStyle w:val="Hipercze"/>
            <w:color w:val="auto"/>
            <w:sz w:val="24"/>
            <w:szCs w:val="24"/>
          </w:rPr>
          <w:t>Wytyczne dotyczące kontroli realizacji programów polityki spójności na lata 2021–2027</w:t>
        </w:r>
      </w:hyperlink>
      <w:r w:rsidRPr="00642527">
        <w:rPr>
          <w:sz w:val="24"/>
          <w:szCs w:val="24"/>
        </w:rPr>
        <w:t xml:space="preserve"> z 26 października 2022 r.</w:t>
      </w:r>
    </w:p>
    <w:p w14:paraId="47890A88" w14:textId="4D414421" w:rsidR="00A82B6B" w:rsidRPr="00642527" w:rsidRDefault="00A82B6B" w:rsidP="00E2200C">
      <w:pPr>
        <w:pStyle w:val="Akapitzlist"/>
        <w:numPr>
          <w:ilvl w:val="0"/>
          <w:numId w:val="99"/>
        </w:numPr>
        <w:spacing w:line="276" w:lineRule="auto"/>
        <w:rPr>
          <w:rFonts w:cstheme="minorHAnsi"/>
          <w:sz w:val="24"/>
          <w:szCs w:val="24"/>
        </w:rPr>
      </w:pPr>
      <w:hyperlink r:id="rId44" w:history="1">
        <w:r w:rsidRPr="00642527">
          <w:rPr>
            <w:rStyle w:val="Hipercze"/>
            <w:rFonts w:cs="Calibri"/>
            <w:color w:val="auto"/>
            <w:sz w:val="24"/>
            <w:szCs w:val="24"/>
          </w:rPr>
          <w:t xml:space="preserve">Podręcznik wnioskodawcy i beneficjenta Funduszy Europejskich na lata 2021-2027 </w:t>
        </w:r>
        <w:r w:rsidRPr="00642527">
          <w:rPr>
            <w:rStyle w:val="Hipercze"/>
            <w:rFonts w:cs="Calibri"/>
            <w:color w:val="auto"/>
            <w:sz w:val="24"/>
            <w:szCs w:val="24"/>
          </w:rPr>
          <w:br/>
          <w:t>w zakresie informacji i promocji</w:t>
        </w:r>
      </w:hyperlink>
      <w:r w:rsidRPr="00642527">
        <w:rPr>
          <w:rFonts w:cs="Calibri"/>
          <w:sz w:val="24"/>
          <w:szCs w:val="24"/>
        </w:rPr>
        <w:t xml:space="preserve"> z</w:t>
      </w:r>
      <w:r w:rsidR="00182299" w:rsidRPr="00642527">
        <w:rPr>
          <w:rFonts w:cs="Calibri"/>
          <w:sz w:val="24"/>
          <w:szCs w:val="24"/>
        </w:rPr>
        <w:t xml:space="preserve"> grudnia</w:t>
      </w:r>
      <w:r w:rsidRPr="00642527">
        <w:rPr>
          <w:rFonts w:cs="Calibri"/>
          <w:sz w:val="24"/>
          <w:szCs w:val="24"/>
        </w:rPr>
        <w:t xml:space="preserve"> 2023 r.</w:t>
      </w:r>
    </w:p>
    <w:p w14:paraId="46832110" w14:textId="776F915A" w:rsidR="00D43116" w:rsidRPr="00642527" w:rsidRDefault="00A82B6B" w:rsidP="00E2200C">
      <w:pPr>
        <w:pStyle w:val="Akapitzlist"/>
        <w:numPr>
          <w:ilvl w:val="0"/>
          <w:numId w:val="99"/>
        </w:numPr>
        <w:rPr>
          <w:rFonts w:cstheme="minorHAnsi"/>
          <w:sz w:val="24"/>
          <w:szCs w:val="24"/>
        </w:rPr>
      </w:pPr>
      <w:hyperlink r:id="rId45" w:history="1">
        <w:r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95D2" w14:textId="77777777" w:rsidR="00FC1656" w:rsidRDefault="00FC1656" w:rsidP="00FC63B4">
      <w:pPr>
        <w:spacing w:after="0" w:line="240" w:lineRule="auto"/>
      </w:pPr>
      <w:r>
        <w:separator/>
      </w:r>
    </w:p>
  </w:endnote>
  <w:endnote w:type="continuationSeparator" w:id="0">
    <w:p w14:paraId="0A4C6C9B" w14:textId="77777777" w:rsidR="00FC1656" w:rsidRDefault="00FC165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F25E79" w:rsidRDefault="00F25E79">
        <w:pPr>
          <w:pStyle w:val="Stopka"/>
          <w:jc w:val="right"/>
        </w:pPr>
        <w:r>
          <w:fldChar w:fldCharType="begin"/>
        </w:r>
        <w:r>
          <w:instrText>PAGE   \* MERGEFORMAT</w:instrText>
        </w:r>
        <w:r>
          <w:fldChar w:fldCharType="separate"/>
        </w:r>
        <w:r w:rsidR="00855BC6">
          <w:rPr>
            <w:noProof/>
          </w:rPr>
          <w:t>2</w:t>
        </w:r>
        <w:r>
          <w:fldChar w:fldCharType="end"/>
        </w:r>
      </w:p>
    </w:sdtContent>
  </w:sdt>
  <w:p w14:paraId="4AF9882F" w14:textId="77777777" w:rsidR="00F25E79" w:rsidRDefault="00F25E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85E5" w14:textId="77777777" w:rsidR="00FC1656" w:rsidRDefault="00FC1656" w:rsidP="00FC63B4">
      <w:pPr>
        <w:spacing w:after="0" w:line="240" w:lineRule="auto"/>
      </w:pPr>
      <w:r>
        <w:separator/>
      </w:r>
    </w:p>
  </w:footnote>
  <w:footnote w:type="continuationSeparator" w:id="0">
    <w:p w14:paraId="109EAF0C" w14:textId="77777777" w:rsidR="00FC1656" w:rsidRDefault="00FC1656" w:rsidP="00FC63B4">
      <w:pPr>
        <w:spacing w:after="0" w:line="240" w:lineRule="auto"/>
      </w:pPr>
      <w:r>
        <w:continuationSeparator/>
      </w:r>
    </w:p>
  </w:footnote>
  <w:footnote w:id="1">
    <w:p w14:paraId="2611B860" w14:textId="5C0581F8" w:rsidR="00B40922" w:rsidRPr="00F102AD" w:rsidRDefault="00B40922" w:rsidP="00B40922">
      <w:pPr>
        <w:pStyle w:val="Tekstprzypisudolnego"/>
        <w:rPr>
          <w:sz w:val="24"/>
          <w:szCs w:val="24"/>
        </w:rPr>
      </w:pPr>
      <w:r w:rsidRPr="00F102AD">
        <w:rPr>
          <w:rStyle w:val="Odwoanieprzypisudolnego"/>
          <w:sz w:val="24"/>
          <w:szCs w:val="24"/>
        </w:rPr>
        <w:footnoteRef/>
      </w:r>
      <w:r w:rsidRPr="00F102AD">
        <w:rPr>
          <w:sz w:val="24"/>
          <w:szCs w:val="24"/>
        </w:rPr>
        <w:t xml:space="preserve"> Kryterium dochodowe uprawniające do otrzymania świadczeń s pomocy społecznej ustalane jest na okres 3</w:t>
      </w:r>
      <w:r w:rsidR="008B433C" w:rsidRPr="00F102AD">
        <w:rPr>
          <w:sz w:val="24"/>
          <w:szCs w:val="24"/>
        </w:rPr>
        <w:t> </w:t>
      </w:r>
      <w:r w:rsidRPr="00F102AD">
        <w:rPr>
          <w:sz w:val="24"/>
          <w:szCs w:val="24"/>
        </w:rPr>
        <w:t>lat rozporządzeniem Rady Ministrów i wynosi w 2024r. 600 zł dla osoby w rodzinie a od 2025r. zgodnie z</w:t>
      </w:r>
      <w:r w:rsidR="008B433C" w:rsidRPr="00F102AD">
        <w:rPr>
          <w:sz w:val="24"/>
          <w:szCs w:val="24"/>
        </w:rPr>
        <w:t> </w:t>
      </w:r>
      <w:r w:rsidRPr="00F102AD">
        <w:rPr>
          <w:sz w:val="24"/>
          <w:szCs w:val="24"/>
        </w:rPr>
        <w:t>Rozporządzeniem Rady Ministrów z 12 lipca 2024r.</w:t>
      </w:r>
      <w:r w:rsidRPr="00F102AD">
        <w:rPr>
          <w:i/>
          <w:iCs/>
          <w:sz w:val="24"/>
          <w:szCs w:val="24"/>
        </w:rPr>
        <w:t xml:space="preserve"> w sprawie zweryfikowanych kryteriów dochodowych oraz kwot świadczeń z pomocy społecznej</w:t>
      </w:r>
      <w:r w:rsidRPr="00F102AD">
        <w:rPr>
          <w:sz w:val="24"/>
          <w:szCs w:val="24"/>
        </w:rPr>
        <w:t xml:space="preserve"> 823 zł dla osoby w rodzinie.  Za dochód należy uznać dochód, o którym mowa w art. 8 ust 3 ustawy z 12 marca 2004r. o pomocy społecznej. </w:t>
      </w:r>
    </w:p>
  </w:footnote>
  <w:footnote w:id="2">
    <w:p w14:paraId="0D3FD3B6" w14:textId="32085B61" w:rsidR="00F25E79" w:rsidRPr="00D61880" w:rsidRDefault="00F25E79"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F25E79" w:rsidRDefault="00F25E79" w:rsidP="00D5387C">
      <w:pPr>
        <w:pStyle w:val="Tekstprzypisudolnego"/>
      </w:pPr>
    </w:p>
  </w:footnote>
  <w:footnote w:id="3">
    <w:p w14:paraId="41E86E68" w14:textId="06335E9E" w:rsidR="00D24E68" w:rsidRPr="00F102AD" w:rsidRDefault="00D24E68">
      <w:pPr>
        <w:pStyle w:val="Tekstprzypisudolnego"/>
        <w:rPr>
          <w:sz w:val="24"/>
          <w:szCs w:val="24"/>
        </w:rPr>
      </w:pPr>
      <w:r w:rsidRPr="00F102AD">
        <w:rPr>
          <w:rStyle w:val="Odwoanieprzypisudolnego"/>
          <w:sz w:val="24"/>
          <w:szCs w:val="24"/>
        </w:rPr>
        <w:footnoteRef/>
      </w:r>
      <w:r w:rsidRPr="00F102AD">
        <w:rPr>
          <w:sz w:val="24"/>
          <w:szCs w:val="24"/>
        </w:rPr>
        <w:t xml:space="preserve"> Rozwiązania wypracowane w modelu dostępnej szkoły </w:t>
      </w:r>
      <w:r w:rsidR="00C474FA" w:rsidRPr="00F102AD">
        <w:rPr>
          <w:sz w:val="24"/>
          <w:szCs w:val="24"/>
        </w:rPr>
        <w:t xml:space="preserve">w ramach przedmiotowego naboru mogą być stosowane do wszystkich szkół i placówek systemu oświaty. </w:t>
      </w:r>
    </w:p>
  </w:footnote>
  <w:footnote w:id="4">
    <w:p w14:paraId="6212AD07" w14:textId="77777777" w:rsidR="00F25E79" w:rsidRPr="00934F09" w:rsidRDefault="00F25E79"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5">
    <w:p w14:paraId="3A441F21" w14:textId="77777777" w:rsidR="00F25E79" w:rsidRPr="00624F71" w:rsidRDefault="00F25E79"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0D196764" w14:textId="3349EBFE" w:rsidR="00F25E79" w:rsidRDefault="00F25E79"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7">
    <w:p w14:paraId="3F90CBDC" w14:textId="3EF32DEC" w:rsidR="00F25E79" w:rsidRDefault="00F25E79">
      <w:pPr>
        <w:pStyle w:val="Tekstprzypisudolnego"/>
      </w:pPr>
      <w:r w:rsidRPr="007D4E4E">
        <w:rPr>
          <w:rStyle w:val="Odwoanieprzypisudolnego"/>
          <w:sz w:val="24"/>
          <w:szCs w:val="24"/>
        </w:rPr>
        <w:footnoteRef/>
      </w:r>
      <w:r w:rsidRPr="007D4E4E">
        <w:rPr>
          <w:sz w:val="24"/>
          <w:szCs w:val="24"/>
        </w:rPr>
        <w:t xml:space="preserve"> </w:t>
      </w:r>
      <w:bookmarkStart w:id="78" w:name="_Hlk136337780"/>
      <w:bookmarkStart w:id="79"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8"/>
    </w:p>
    <w:bookmarkEnd w:id="79"/>
  </w:footnote>
  <w:footnote w:id="8">
    <w:p w14:paraId="69D90A65" w14:textId="77777777" w:rsidR="00F25E79" w:rsidRPr="007D4E4E" w:rsidRDefault="00F25E79"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F25E79" w:rsidRDefault="00F25E79">
      <w:pPr>
        <w:pStyle w:val="Tekstprzypisudolnego"/>
      </w:pPr>
    </w:p>
  </w:footnote>
  <w:footnote w:id="9">
    <w:p w14:paraId="255EE435" w14:textId="77777777" w:rsidR="00F25E79" w:rsidRDefault="00F25E79"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F25E79" w:rsidRDefault="00F25E79"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F25E79" w:rsidRDefault="00F25E79">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2207910">
    <w:abstractNumId w:val="21"/>
  </w:num>
  <w:num w:numId="2" w16cid:durableId="641353952">
    <w:abstractNumId w:val="82"/>
  </w:num>
  <w:num w:numId="3" w16cid:durableId="705568122">
    <w:abstractNumId w:val="56"/>
  </w:num>
  <w:num w:numId="4" w16cid:durableId="1407148524">
    <w:abstractNumId w:val="52"/>
  </w:num>
  <w:num w:numId="5" w16cid:durableId="2015301781">
    <w:abstractNumId w:val="70"/>
  </w:num>
  <w:num w:numId="6" w16cid:durableId="556859924">
    <w:abstractNumId w:val="62"/>
  </w:num>
  <w:num w:numId="7" w16cid:durableId="870728555">
    <w:abstractNumId w:val="74"/>
  </w:num>
  <w:num w:numId="8" w16cid:durableId="416875462">
    <w:abstractNumId w:val="2"/>
  </w:num>
  <w:num w:numId="9" w16cid:durableId="419718642">
    <w:abstractNumId w:val="12"/>
  </w:num>
  <w:num w:numId="10" w16cid:durableId="1063720360">
    <w:abstractNumId w:val="75"/>
  </w:num>
  <w:num w:numId="11" w16cid:durableId="152836600">
    <w:abstractNumId w:val="24"/>
  </w:num>
  <w:num w:numId="12" w16cid:durableId="1282568560">
    <w:abstractNumId w:val="73"/>
  </w:num>
  <w:num w:numId="13" w16cid:durableId="289287383">
    <w:abstractNumId w:val="43"/>
  </w:num>
  <w:num w:numId="14" w16cid:durableId="1714966897">
    <w:abstractNumId w:val="78"/>
  </w:num>
  <w:num w:numId="15" w16cid:durableId="216279555">
    <w:abstractNumId w:val="15"/>
  </w:num>
  <w:num w:numId="16" w16cid:durableId="1097292221">
    <w:abstractNumId w:val="13"/>
  </w:num>
  <w:num w:numId="17" w16cid:durableId="416177927">
    <w:abstractNumId w:val="35"/>
  </w:num>
  <w:num w:numId="18" w16cid:durableId="456414720">
    <w:abstractNumId w:val="34"/>
  </w:num>
  <w:num w:numId="19" w16cid:durableId="2075856225">
    <w:abstractNumId w:val="67"/>
  </w:num>
  <w:num w:numId="20" w16cid:durableId="576020787">
    <w:abstractNumId w:val="60"/>
  </w:num>
  <w:num w:numId="21" w16cid:durableId="2019575514">
    <w:abstractNumId w:val="59"/>
  </w:num>
  <w:num w:numId="22" w16cid:durableId="807625403">
    <w:abstractNumId w:val="7"/>
  </w:num>
  <w:num w:numId="23" w16cid:durableId="680205791">
    <w:abstractNumId w:val="63"/>
  </w:num>
  <w:num w:numId="24" w16cid:durableId="2007199468">
    <w:abstractNumId w:val="29"/>
  </w:num>
  <w:num w:numId="25" w16cid:durableId="2061585514">
    <w:abstractNumId w:val="69"/>
  </w:num>
  <w:num w:numId="26" w16cid:durableId="2115515202">
    <w:abstractNumId w:val="61"/>
  </w:num>
  <w:num w:numId="27" w16cid:durableId="1649091279">
    <w:abstractNumId w:val="19"/>
  </w:num>
  <w:num w:numId="28" w16cid:durableId="936979931">
    <w:abstractNumId w:val="1"/>
  </w:num>
  <w:num w:numId="29" w16cid:durableId="117335947">
    <w:abstractNumId w:val="76"/>
  </w:num>
  <w:num w:numId="30" w16cid:durableId="1632635297">
    <w:abstractNumId w:val="37"/>
  </w:num>
  <w:num w:numId="31" w16cid:durableId="1173490194">
    <w:abstractNumId w:val="47"/>
  </w:num>
  <w:num w:numId="32" w16cid:durableId="2115830160">
    <w:abstractNumId w:val="76"/>
  </w:num>
  <w:num w:numId="33" w16cid:durableId="1692609483">
    <w:abstractNumId w:val="23"/>
  </w:num>
  <w:num w:numId="34" w16cid:durableId="1231310552">
    <w:abstractNumId w:val="5"/>
  </w:num>
  <w:num w:numId="35" w16cid:durableId="1457599706">
    <w:abstractNumId w:val="22"/>
  </w:num>
  <w:num w:numId="36" w16cid:durableId="264576277">
    <w:abstractNumId w:val="27"/>
  </w:num>
  <w:num w:numId="37" w16cid:durableId="847410106">
    <w:abstractNumId w:val="50"/>
  </w:num>
  <w:num w:numId="38" w16cid:durableId="235938548">
    <w:abstractNumId w:val="14"/>
  </w:num>
  <w:num w:numId="39" w16cid:durableId="138769228">
    <w:abstractNumId w:val="10"/>
  </w:num>
  <w:num w:numId="40" w16cid:durableId="643202293">
    <w:abstractNumId w:val="11"/>
  </w:num>
  <w:num w:numId="41" w16cid:durableId="1091665422">
    <w:abstractNumId w:val="54"/>
  </w:num>
  <w:num w:numId="42" w16cid:durableId="1223708880">
    <w:abstractNumId w:val="28"/>
  </w:num>
  <w:num w:numId="43" w16cid:durableId="466776842">
    <w:abstractNumId w:val="57"/>
  </w:num>
  <w:num w:numId="44" w16cid:durableId="2005623022">
    <w:abstractNumId w:val="64"/>
  </w:num>
  <w:num w:numId="45" w16cid:durableId="202982655">
    <w:abstractNumId w:val="9"/>
  </w:num>
  <w:num w:numId="46" w16cid:durableId="544490945">
    <w:abstractNumId w:val="80"/>
  </w:num>
  <w:num w:numId="47" w16cid:durableId="1267422943">
    <w:abstractNumId w:val="42"/>
  </w:num>
  <w:num w:numId="48" w16cid:durableId="300036926">
    <w:abstractNumId w:val="30"/>
  </w:num>
  <w:num w:numId="49" w16cid:durableId="1050348770">
    <w:abstractNumId w:val="31"/>
  </w:num>
  <w:num w:numId="50" w16cid:durableId="1645768596">
    <w:abstractNumId w:val="66"/>
  </w:num>
  <w:num w:numId="51" w16cid:durableId="2066879114">
    <w:abstractNumId w:val="49"/>
  </w:num>
  <w:num w:numId="52" w16cid:durableId="399642911">
    <w:abstractNumId w:val="3"/>
  </w:num>
  <w:num w:numId="53" w16cid:durableId="291132248">
    <w:abstractNumId w:val="32"/>
  </w:num>
  <w:num w:numId="54" w16cid:durableId="2075003150">
    <w:abstractNumId w:val="44"/>
  </w:num>
  <w:num w:numId="55" w16cid:durableId="1788574321">
    <w:abstractNumId w:val="58"/>
  </w:num>
  <w:num w:numId="56" w16cid:durableId="889918199">
    <w:abstractNumId w:val="46"/>
  </w:num>
  <w:num w:numId="57" w16cid:durableId="1922176357">
    <w:abstractNumId w:val="25"/>
  </w:num>
  <w:num w:numId="58" w16cid:durableId="212430147">
    <w:abstractNumId w:val="20"/>
  </w:num>
  <w:num w:numId="59" w16cid:durableId="159853601">
    <w:abstractNumId w:val="40"/>
  </w:num>
  <w:num w:numId="60" w16cid:durableId="998533519">
    <w:abstractNumId w:val="8"/>
  </w:num>
  <w:num w:numId="61" w16cid:durableId="1405375978">
    <w:abstractNumId w:val="45"/>
  </w:num>
  <w:num w:numId="62" w16cid:durableId="1062215172">
    <w:abstractNumId w:val="36"/>
  </w:num>
  <w:num w:numId="63" w16cid:durableId="431515285">
    <w:abstractNumId w:val="4"/>
  </w:num>
  <w:num w:numId="64" w16cid:durableId="97675375">
    <w:abstractNumId w:val="77"/>
  </w:num>
  <w:num w:numId="65" w16cid:durableId="1237201401">
    <w:abstractNumId w:val="26"/>
  </w:num>
  <w:num w:numId="66" w16cid:durableId="9880968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92322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263958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4544391">
    <w:abstractNumId w:val="51"/>
  </w:num>
  <w:num w:numId="70" w16cid:durableId="855079362">
    <w:abstractNumId w:val="6"/>
  </w:num>
  <w:num w:numId="71" w16cid:durableId="1514414681">
    <w:abstractNumId w:val="81"/>
  </w:num>
  <w:num w:numId="72" w16cid:durableId="474027202">
    <w:abstractNumId w:val="68"/>
  </w:num>
  <w:num w:numId="73" w16cid:durableId="590165838">
    <w:abstractNumId w:val="71"/>
  </w:num>
  <w:num w:numId="74" w16cid:durableId="414253182">
    <w:abstractNumId w:val="72"/>
  </w:num>
  <w:num w:numId="75" w16cid:durableId="800609476">
    <w:abstractNumId w:val="38"/>
  </w:num>
  <w:num w:numId="76" w16cid:durableId="1432242554">
    <w:abstractNumId w:val="55"/>
  </w:num>
  <w:num w:numId="77" w16cid:durableId="2134670373">
    <w:abstractNumId w:val="29"/>
  </w:num>
  <w:num w:numId="78" w16cid:durableId="1752192323">
    <w:abstractNumId w:val="75"/>
  </w:num>
  <w:num w:numId="79" w16cid:durableId="787625326">
    <w:abstractNumId w:val="12"/>
  </w:num>
  <w:num w:numId="80" w16cid:durableId="425998807">
    <w:abstractNumId w:val="41"/>
  </w:num>
  <w:num w:numId="81" w16cid:durableId="571475412">
    <w:abstractNumId w:val="13"/>
  </w:num>
  <w:num w:numId="82" w16cid:durableId="969895049">
    <w:abstractNumId w:val="3"/>
  </w:num>
  <w:num w:numId="83" w16cid:durableId="1442997132">
    <w:abstractNumId w:val="66"/>
  </w:num>
  <w:num w:numId="84" w16cid:durableId="7056396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901442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55463531">
    <w:abstractNumId w:val="47"/>
  </w:num>
  <w:num w:numId="87" w16cid:durableId="979647566">
    <w:abstractNumId w:val="78"/>
  </w:num>
  <w:num w:numId="88" w16cid:durableId="5970570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25503260">
    <w:abstractNumId w:val="64"/>
  </w:num>
  <w:num w:numId="90" w16cid:durableId="1425875858">
    <w:abstractNumId w:val="69"/>
  </w:num>
  <w:num w:numId="91" w16cid:durableId="15103631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7590537">
    <w:abstractNumId w:val="67"/>
  </w:num>
  <w:num w:numId="93" w16cid:durableId="11761158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42236902">
    <w:abstractNumId w:val="32"/>
  </w:num>
  <w:num w:numId="95" w16cid:durableId="1751613011">
    <w:abstractNumId w:val="17"/>
  </w:num>
  <w:num w:numId="96" w16cid:durableId="10957139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0244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21647945">
    <w:abstractNumId w:val="65"/>
  </w:num>
  <w:num w:numId="99" w16cid:durableId="6608171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40927750">
    <w:abstractNumId w:val="0"/>
  </w:num>
  <w:num w:numId="101" w16cid:durableId="2039578241">
    <w:abstractNumId w:val="18"/>
  </w:num>
  <w:num w:numId="102" w16cid:durableId="1460150621">
    <w:abstractNumId w:val="16"/>
  </w:num>
  <w:num w:numId="103" w16cid:durableId="293681916">
    <w:abstractNumId w:val="33"/>
  </w:num>
  <w:num w:numId="104" w16cid:durableId="587352062">
    <w:abstractNumId w:val="48"/>
  </w:num>
  <w:num w:numId="105" w16cid:durableId="122697222">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5D52"/>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7228"/>
    <w:rsid w:val="000D0DD7"/>
    <w:rsid w:val="000D30A8"/>
    <w:rsid w:val="000D4A1E"/>
    <w:rsid w:val="000D4E84"/>
    <w:rsid w:val="000E56E5"/>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071"/>
    <w:rsid w:val="00171A4C"/>
    <w:rsid w:val="00171A7C"/>
    <w:rsid w:val="00173BBB"/>
    <w:rsid w:val="00175510"/>
    <w:rsid w:val="001769A5"/>
    <w:rsid w:val="00176FEF"/>
    <w:rsid w:val="00182299"/>
    <w:rsid w:val="001824D8"/>
    <w:rsid w:val="00183AAC"/>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5721"/>
    <w:rsid w:val="001A6001"/>
    <w:rsid w:val="001B092C"/>
    <w:rsid w:val="001B15E0"/>
    <w:rsid w:val="001B579E"/>
    <w:rsid w:val="001C278C"/>
    <w:rsid w:val="001C46A7"/>
    <w:rsid w:val="001C4C47"/>
    <w:rsid w:val="001C6FE4"/>
    <w:rsid w:val="001C761B"/>
    <w:rsid w:val="001D2C0A"/>
    <w:rsid w:val="001D2DEA"/>
    <w:rsid w:val="001D3212"/>
    <w:rsid w:val="001D553A"/>
    <w:rsid w:val="001E0332"/>
    <w:rsid w:val="001E2EF8"/>
    <w:rsid w:val="001E348D"/>
    <w:rsid w:val="001F2DA1"/>
    <w:rsid w:val="001F3DB2"/>
    <w:rsid w:val="001F5FEB"/>
    <w:rsid w:val="001F64BB"/>
    <w:rsid w:val="001F6955"/>
    <w:rsid w:val="001F7F41"/>
    <w:rsid w:val="00200E14"/>
    <w:rsid w:val="0020353D"/>
    <w:rsid w:val="00203ACD"/>
    <w:rsid w:val="002055E7"/>
    <w:rsid w:val="002115AC"/>
    <w:rsid w:val="0021203A"/>
    <w:rsid w:val="0021258E"/>
    <w:rsid w:val="002137F5"/>
    <w:rsid w:val="0022033E"/>
    <w:rsid w:val="00220D54"/>
    <w:rsid w:val="002231F9"/>
    <w:rsid w:val="00223FC1"/>
    <w:rsid w:val="00225FDA"/>
    <w:rsid w:val="00232AA6"/>
    <w:rsid w:val="00234B61"/>
    <w:rsid w:val="00234EDB"/>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9BF"/>
    <w:rsid w:val="002A1296"/>
    <w:rsid w:val="002A2648"/>
    <w:rsid w:val="002A4641"/>
    <w:rsid w:val="002B0E66"/>
    <w:rsid w:val="002B105E"/>
    <w:rsid w:val="002B1961"/>
    <w:rsid w:val="002B2085"/>
    <w:rsid w:val="002B44E5"/>
    <w:rsid w:val="002B6362"/>
    <w:rsid w:val="002B784C"/>
    <w:rsid w:val="002C4AC0"/>
    <w:rsid w:val="002C51F3"/>
    <w:rsid w:val="002D3A33"/>
    <w:rsid w:val="002D5347"/>
    <w:rsid w:val="002D6503"/>
    <w:rsid w:val="002D7B55"/>
    <w:rsid w:val="002D7D13"/>
    <w:rsid w:val="002E0004"/>
    <w:rsid w:val="002E01A7"/>
    <w:rsid w:val="002E0703"/>
    <w:rsid w:val="002E3246"/>
    <w:rsid w:val="002E44F5"/>
    <w:rsid w:val="002E61CE"/>
    <w:rsid w:val="002F00F1"/>
    <w:rsid w:val="002F3FC2"/>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3792F"/>
    <w:rsid w:val="00340D0B"/>
    <w:rsid w:val="003441C8"/>
    <w:rsid w:val="0034491F"/>
    <w:rsid w:val="00345F0F"/>
    <w:rsid w:val="003465BF"/>
    <w:rsid w:val="00352516"/>
    <w:rsid w:val="0035505E"/>
    <w:rsid w:val="00356C56"/>
    <w:rsid w:val="00357E45"/>
    <w:rsid w:val="003601E0"/>
    <w:rsid w:val="00360520"/>
    <w:rsid w:val="003634E1"/>
    <w:rsid w:val="00363550"/>
    <w:rsid w:val="003660FB"/>
    <w:rsid w:val="003711BB"/>
    <w:rsid w:val="003718E7"/>
    <w:rsid w:val="003721C5"/>
    <w:rsid w:val="00374F01"/>
    <w:rsid w:val="0037571C"/>
    <w:rsid w:val="00380CAA"/>
    <w:rsid w:val="00381C48"/>
    <w:rsid w:val="003825B0"/>
    <w:rsid w:val="003840D4"/>
    <w:rsid w:val="00391841"/>
    <w:rsid w:val="00395974"/>
    <w:rsid w:val="003A091E"/>
    <w:rsid w:val="003A0958"/>
    <w:rsid w:val="003A584C"/>
    <w:rsid w:val="003B14C7"/>
    <w:rsid w:val="003B1F03"/>
    <w:rsid w:val="003B502E"/>
    <w:rsid w:val="003B57C8"/>
    <w:rsid w:val="003B5B81"/>
    <w:rsid w:val="003C274E"/>
    <w:rsid w:val="003C3A51"/>
    <w:rsid w:val="003C488E"/>
    <w:rsid w:val="003C4F8E"/>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0D38"/>
    <w:rsid w:val="004316A3"/>
    <w:rsid w:val="0043767C"/>
    <w:rsid w:val="00440741"/>
    <w:rsid w:val="00440DDC"/>
    <w:rsid w:val="0044126E"/>
    <w:rsid w:val="004431C2"/>
    <w:rsid w:val="00445CCA"/>
    <w:rsid w:val="0045783C"/>
    <w:rsid w:val="00460E85"/>
    <w:rsid w:val="00462257"/>
    <w:rsid w:val="00463381"/>
    <w:rsid w:val="00463632"/>
    <w:rsid w:val="00466959"/>
    <w:rsid w:val="00467572"/>
    <w:rsid w:val="004706BD"/>
    <w:rsid w:val="0047130B"/>
    <w:rsid w:val="00471983"/>
    <w:rsid w:val="00472DE0"/>
    <w:rsid w:val="00475249"/>
    <w:rsid w:val="0047650F"/>
    <w:rsid w:val="00483642"/>
    <w:rsid w:val="00485586"/>
    <w:rsid w:val="00487540"/>
    <w:rsid w:val="0049398E"/>
    <w:rsid w:val="004974F1"/>
    <w:rsid w:val="004A0400"/>
    <w:rsid w:val="004A1EB4"/>
    <w:rsid w:val="004A69D1"/>
    <w:rsid w:val="004A69DC"/>
    <w:rsid w:val="004A6A93"/>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3E02"/>
    <w:rsid w:val="00524989"/>
    <w:rsid w:val="0052542F"/>
    <w:rsid w:val="005257B9"/>
    <w:rsid w:val="00525984"/>
    <w:rsid w:val="005269EB"/>
    <w:rsid w:val="0053059B"/>
    <w:rsid w:val="00535C4E"/>
    <w:rsid w:val="0054085D"/>
    <w:rsid w:val="00540D28"/>
    <w:rsid w:val="0054197C"/>
    <w:rsid w:val="00543AF1"/>
    <w:rsid w:val="0054485D"/>
    <w:rsid w:val="005520DA"/>
    <w:rsid w:val="00553393"/>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0A5B"/>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0B32"/>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6D2B"/>
    <w:rsid w:val="006D73E7"/>
    <w:rsid w:val="006D792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6A3B"/>
    <w:rsid w:val="00777F1C"/>
    <w:rsid w:val="00782405"/>
    <w:rsid w:val="00784409"/>
    <w:rsid w:val="0078506E"/>
    <w:rsid w:val="007873E6"/>
    <w:rsid w:val="00790C40"/>
    <w:rsid w:val="00794154"/>
    <w:rsid w:val="00796E0F"/>
    <w:rsid w:val="007A0453"/>
    <w:rsid w:val="007A5FB8"/>
    <w:rsid w:val="007B05BF"/>
    <w:rsid w:val="007B07F1"/>
    <w:rsid w:val="007B0CAF"/>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2528"/>
    <w:rsid w:val="00804108"/>
    <w:rsid w:val="00807295"/>
    <w:rsid w:val="0080754D"/>
    <w:rsid w:val="008118BE"/>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55BC6"/>
    <w:rsid w:val="00863B3B"/>
    <w:rsid w:val="00864281"/>
    <w:rsid w:val="0086647E"/>
    <w:rsid w:val="008678DF"/>
    <w:rsid w:val="008723CB"/>
    <w:rsid w:val="008724B0"/>
    <w:rsid w:val="008726FB"/>
    <w:rsid w:val="008778D6"/>
    <w:rsid w:val="008809DE"/>
    <w:rsid w:val="00881C3C"/>
    <w:rsid w:val="008872E9"/>
    <w:rsid w:val="008923C2"/>
    <w:rsid w:val="00892EF3"/>
    <w:rsid w:val="008934FF"/>
    <w:rsid w:val="00894501"/>
    <w:rsid w:val="00896055"/>
    <w:rsid w:val="008970DA"/>
    <w:rsid w:val="008974A9"/>
    <w:rsid w:val="008A0205"/>
    <w:rsid w:val="008A0C21"/>
    <w:rsid w:val="008A31AB"/>
    <w:rsid w:val="008A6143"/>
    <w:rsid w:val="008A7224"/>
    <w:rsid w:val="008B085D"/>
    <w:rsid w:val="008B433C"/>
    <w:rsid w:val="008B7C60"/>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6702B"/>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382"/>
    <w:rsid w:val="009C7741"/>
    <w:rsid w:val="009D0B2C"/>
    <w:rsid w:val="009D1E25"/>
    <w:rsid w:val="009D2F1E"/>
    <w:rsid w:val="009D5BAE"/>
    <w:rsid w:val="009E0852"/>
    <w:rsid w:val="009E6685"/>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61017"/>
    <w:rsid w:val="00A64E4A"/>
    <w:rsid w:val="00A660B2"/>
    <w:rsid w:val="00A706E7"/>
    <w:rsid w:val="00A72CD6"/>
    <w:rsid w:val="00A75511"/>
    <w:rsid w:val="00A8016B"/>
    <w:rsid w:val="00A80DE3"/>
    <w:rsid w:val="00A814C5"/>
    <w:rsid w:val="00A8179E"/>
    <w:rsid w:val="00A82B6B"/>
    <w:rsid w:val="00A82F9D"/>
    <w:rsid w:val="00A855D5"/>
    <w:rsid w:val="00A91061"/>
    <w:rsid w:val="00A932EA"/>
    <w:rsid w:val="00A95C38"/>
    <w:rsid w:val="00AA0CE7"/>
    <w:rsid w:val="00AA7B09"/>
    <w:rsid w:val="00AB09BA"/>
    <w:rsid w:val="00AB1A80"/>
    <w:rsid w:val="00AB3B04"/>
    <w:rsid w:val="00AB596D"/>
    <w:rsid w:val="00AC062C"/>
    <w:rsid w:val="00AC0790"/>
    <w:rsid w:val="00AD02F7"/>
    <w:rsid w:val="00AD1D58"/>
    <w:rsid w:val="00AD4DC3"/>
    <w:rsid w:val="00AD5A4F"/>
    <w:rsid w:val="00AD61B8"/>
    <w:rsid w:val="00AD7387"/>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9F4"/>
    <w:rsid w:val="00B12BBA"/>
    <w:rsid w:val="00B2214B"/>
    <w:rsid w:val="00B25D15"/>
    <w:rsid w:val="00B26A3C"/>
    <w:rsid w:val="00B27AC3"/>
    <w:rsid w:val="00B30154"/>
    <w:rsid w:val="00B32F3E"/>
    <w:rsid w:val="00B34677"/>
    <w:rsid w:val="00B37232"/>
    <w:rsid w:val="00B378CA"/>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45BC"/>
    <w:rsid w:val="00BC5D43"/>
    <w:rsid w:val="00BD36EC"/>
    <w:rsid w:val="00BD47CD"/>
    <w:rsid w:val="00BE0968"/>
    <w:rsid w:val="00BE462D"/>
    <w:rsid w:val="00BF0EDB"/>
    <w:rsid w:val="00BF1658"/>
    <w:rsid w:val="00BF2847"/>
    <w:rsid w:val="00BF4242"/>
    <w:rsid w:val="00BF4C83"/>
    <w:rsid w:val="00C004AD"/>
    <w:rsid w:val="00C0217E"/>
    <w:rsid w:val="00C027AD"/>
    <w:rsid w:val="00C03A43"/>
    <w:rsid w:val="00C06027"/>
    <w:rsid w:val="00C0727E"/>
    <w:rsid w:val="00C11132"/>
    <w:rsid w:val="00C119E3"/>
    <w:rsid w:val="00C15458"/>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385"/>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1DE5"/>
    <w:rsid w:val="00CC52C8"/>
    <w:rsid w:val="00CD2299"/>
    <w:rsid w:val="00CD2FC7"/>
    <w:rsid w:val="00CD774C"/>
    <w:rsid w:val="00CE16F4"/>
    <w:rsid w:val="00CE1D0A"/>
    <w:rsid w:val="00CE2493"/>
    <w:rsid w:val="00CE2B41"/>
    <w:rsid w:val="00CF2824"/>
    <w:rsid w:val="00CF46A5"/>
    <w:rsid w:val="00CF6372"/>
    <w:rsid w:val="00D00369"/>
    <w:rsid w:val="00D00F6C"/>
    <w:rsid w:val="00D01FFE"/>
    <w:rsid w:val="00D02ECD"/>
    <w:rsid w:val="00D053B5"/>
    <w:rsid w:val="00D05528"/>
    <w:rsid w:val="00D062C1"/>
    <w:rsid w:val="00D071EE"/>
    <w:rsid w:val="00D07A32"/>
    <w:rsid w:val="00D12D73"/>
    <w:rsid w:val="00D13F61"/>
    <w:rsid w:val="00D14154"/>
    <w:rsid w:val="00D14324"/>
    <w:rsid w:val="00D15919"/>
    <w:rsid w:val="00D16965"/>
    <w:rsid w:val="00D17BE8"/>
    <w:rsid w:val="00D24124"/>
    <w:rsid w:val="00D24767"/>
    <w:rsid w:val="00D24E68"/>
    <w:rsid w:val="00D316FF"/>
    <w:rsid w:val="00D31D2A"/>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43C"/>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65C3"/>
    <w:rsid w:val="00DD79A1"/>
    <w:rsid w:val="00DE023D"/>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17859"/>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39C9"/>
    <w:rsid w:val="00E56C51"/>
    <w:rsid w:val="00E60B7C"/>
    <w:rsid w:val="00E61B16"/>
    <w:rsid w:val="00E623A7"/>
    <w:rsid w:val="00E6325D"/>
    <w:rsid w:val="00E64843"/>
    <w:rsid w:val="00E65855"/>
    <w:rsid w:val="00E66434"/>
    <w:rsid w:val="00E6714F"/>
    <w:rsid w:val="00E70942"/>
    <w:rsid w:val="00E70AFA"/>
    <w:rsid w:val="00E71ECE"/>
    <w:rsid w:val="00E72F04"/>
    <w:rsid w:val="00E74AB8"/>
    <w:rsid w:val="00E74C25"/>
    <w:rsid w:val="00E76DCB"/>
    <w:rsid w:val="00E81202"/>
    <w:rsid w:val="00E82A12"/>
    <w:rsid w:val="00E833AF"/>
    <w:rsid w:val="00E83536"/>
    <w:rsid w:val="00E84162"/>
    <w:rsid w:val="00E85254"/>
    <w:rsid w:val="00E8743B"/>
    <w:rsid w:val="00E93903"/>
    <w:rsid w:val="00E96BDD"/>
    <w:rsid w:val="00E97B7B"/>
    <w:rsid w:val="00EA03E6"/>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159"/>
    <w:rsid w:val="00F10241"/>
    <w:rsid w:val="00F102AD"/>
    <w:rsid w:val="00F1395B"/>
    <w:rsid w:val="00F1594F"/>
    <w:rsid w:val="00F15EA7"/>
    <w:rsid w:val="00F175A0"/>
    <w:rsid w:val="00F20327"/>
    <w:rsid w:val="00F21638"/>
    <w:rsid w:val="00F237C3"/>
    <w:rsid w:val="00F240D8"/>
    <w:rsid w:val="00F24131"/>
    <w:rsid w:val="00F25E79"/>
    <w:rsid w:val="00F26772"/>
    <w:rsid w:val="00F32DC0"/>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95DA6"/>
    <w:rsid w:val="00FA0FB0"/>
    <w:rsid w:val="00FA28F5"/>
    <w:rsid w:val="00FA3D81"/>
    <w:rsid w:val="00FA4C61"/>
    <w:rsid w:val="00FA7956"/>
    <w:rsid w:val="00FB092E"/>
    <w:rsid w:val="00FB3C75"/>
    <w:rsid w:val="00FB41D8"/>
    <w:rsid w:val="00FB61B1"/>
    <w:rsid w:val="00FB7728"/>
    <w:rsid w:val="00FC0AA4"/>
    <w:rsid w:val="00FC1656"/>
    <w:rsid w:val="00FC63B4"/>
    <w:rsid w:val="00FD06D9"/>
    <w:rsid w:val="00FD145B"/>
    <w:rsid w:val="00FD16D9"/>
    <w:rsid w:val="00FD2865"/>
    <w:rsid w:val="00FD2873"/>
    <w:rsid w:val="00FD2D67"/>
    <w:rsid w:val="00FE059A"/>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A0B3F5FB-CE1E-4BC6-A5B8-7044F14E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7459947">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mailto:s.klis@wup.opol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2343/Wytyczne_dotyczace_kwalifikowalnosci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unktefs@wup.opole.pl" TargetMode="External"/><Relationship Id="rId29" Type="http://schemas.openxmlformats.org/officeDocument/2006/relationships/hyperlink" Target="https://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5353/Wytyczne-dotyczace-realizacji-projektow-z-EFS-podpisane.pdf" TargetMode="External"/><Relationship Id="rId40" Type="http://schemas.openxmlformats.org/officeDocument/2006/relationships/hyperlink" Target="https://www.funduszeeuropejskie.gov.pl/media/113155/wytyczne.pdf" TargetMode="External"/><Relationship Id="rId45"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rpo.opolskie.pl/wp-content/uploads/2024/03/Regulamin-Komisji-Oceny-Projekt%C3%B3w-post-konkurencyjne-wersja-2-z-25_03_2024-r-2.pdf" TargetMode="External"/><Relationship Id="rId10" Type="http://schemas.openxmlformats.org/officeDocument/2006/relationships/hyperlink" Target="https://www.funduszeue.opolskie.pl/" TargetMode="External"/><Relationship Id="rId19" Type="http://schemas.openxmlformats.org/officeDocument/2006/relationships/hyperlink" Target="mailto:j.nowara@wup.opol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7275/Podrecznik_beneficjenta_info-promo_21-27.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11931/Wytyczne_dotyczace_kontroli_w_programach_polityki_spojnosci_2021-2027.pdf"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media/111539/Wytyczne_dotyczace_wyboru_projektow_na_lata_2021_2027.pdf" TargetMode="External"/><Relationship Id="rId46" Type="http://schemas.openxmlformats.org/officeDocument/2006/relationships/footer" Target="footer1.xml"/><Relationship Id="rId20" Type="http://schemas.openxmlformats.org/officeDocument/2006/relationships/hyperlink" Target="https://www.funduszeue.opolskie.pl/" TargetMode="External"/><Relationship Id="rId41"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EC484-698D-496B-96FE-D2109FFD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46</Pages>
  <Words>14874</Words>
  <Characters>89244</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Karolina Kozak</cp:lastModifiedBy>
  <cp:revision>3</cp:revision>
  <cp:lastPrinted>2024-12-12T06:14:00Z</cp:lastPrinted>
  <dcterms:created xsi:type="dcterms:W3CDTF">2025-08-28T12:28:00Z</dcterms:created>
  <dcterms:modified xsi:type="dcterms:W3CDTF">2025-08-28T13:12:00Z</dcterms:modified>
</cp:coreProperties>
</file>