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C118C" w14:textId="77777777" w:rsidR="001C278C" w:rsidRDefault="002119AC" w:rsidP="00547A0B">
      <w:pPr>
        <w:pStyle w:val="Bezodstpw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1FBC7B9" wp14:editId="3329A7BA">
            <wp:extent cx="5760720" cy="638951"/>
            <wp:effectExtent l="0" t="0" r="0" b="889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89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F9CD53" w14:textId="77777777" w:rsidR="002119AC" w:rsidRDefault="002119AC"/>
    <w:p w14:paraId="0F46BC1A" w14:textId="77777777" w:rsidR="002119AC" w:rsidRDefault="002119AC"/>
    <w:p w14:paraId="27AAF34F" w14:textId="77777777" w:rsidR="002119AC" w:rsidRDefault="002119AC"/>
    <w:p w14:paraId="42E7F12E" w14:textId="77777777" w:rsidR="002119AC" w:rsidRDefault="002119AC"/>
    <w:p w14:paraId="571C3B24" w14:textId="77777777" w:rsidR="002119AC" w:rsidRDefault="002119AC"/>
    <w:p w14:paraId="7115AE37" w14:textId="77777777" w:rsidR="002119AC" w:rsidRDefault="002119AC"/>
    <w:p w14:paraId="67C96186" w14:textId="4AADD54A" w:rsidR="002119AC" w:rsidRDefault="002119AC">
      <w:r>
        <w:rPr>
          <w:rFonts w:ascii="Calibri" w:hAnsi="Calibri" w:cs="Calibri"/>
          <w:b/>
          <w:sz w:val="44"/>
          <w:szCs w:val="44"/>
        </w:rPr>
        <w:t xml:space="preserve">ZAŁĄCZNIK NR </w:t>
      </w:r>
      <w:r w:rsidR="00402C09">
        <w:rPr>
          <w:rFonts w:ascii="Calibri" w:hAnsi="Calibri" w:cs="Calibri"/>
          <w:b/>
          <w:sz w:val="44"/>
          <w:szCs w:val="44"/>
        </w:rPr>
        <w:t>10</w:t>
      </w:r>
    </w:p>
    <w:p w14:paraId="33AF4119" w14:textId="4EB7E9CD" w:rsidR="002119AC" w:rsidRDefault="002119AC">
      <w:pPr>
        <w:rPr>
          <w:rFonts w:cstheme="minorHAnsi"/>
          <w:b/>
          <w:sz w:val="44"/>
          <w:szCs w:val="44"/>
        </w:rPr>
      </w:pPr>
      <w:r w:rsidRPr="002119AC">
        <w:rPr>
          <w:rFonts w:cstheme="minorHAnsi"/>
          <w:b/>
          <w:sz w:val="44"/>
          <w:szCs w:val="44"/>
        </w:rPr>
        <w:t>Wyciąg ze Szczegółowego Opisu Priorytetów Programu Fundusze Europejskie dla Opolskiego 2021-2027</w:t>
      </w:r>
      <w:r w:rsidR="00FD543F">
        <w:rPr>
          <w:rFonts w:cstheme="minorHAnsi"/>
          <w:b/>
          <w:sz w:val="44"/>
          <w:szCs w:val="44"/>
        </w:rPr>
        <w:t xml:space="preserve"> </w:t>
      </w:r>
      <w:r w:rsidRPr="002119AC">
        <w:rPr>
          <w:rFonts w:cstheme="minorHAnsi"/>
          <w:b/>
          <w:sz w:val="44"/>
          <w:szCs w:val="44"/>
        </w:rPr>
        <w:t xml:space="preserve">(karta działania </w:t>
      </w:r>
      <w:r w:rsidR="00750385">
        <w:rPr>
          <w:rFonts w:cstheme="minorHAnsi"/>
          <w:b/>
          <w:sz w:val="44"/>
          <w:szCs w:val="44"/>
        </w:rPr>
        <w:t>6</w:t>
      </w:r>
      <w:r w:rsidR="00001C98">
        <w:rPr>
          <w:rFonts w:cstheme="minorHAnsi"/>
          <w:b/>
          <w:sz w:val="44"/>
          <w:szCs w:val="44"/>
        </w:rPr>
        <w:t>.</w:t>
      </w:r>
      <w:r w:rsidR="00750385">
        <w:rPr>
          <w:rFonts w:cstheme="minorHAnsi"/>
          <w:b/>
          <w:sz w:val="44"/>
          <w:szCs w:val="44"/>
        </w:rPr>
        <w:t>1</w:t>
      </w:r>
      <w:r>
        <w:rPr>
          <w:rFonts w:cstheme="minorHAnsi"/>
          <w:b/>
          <w:sz w:val="44"/>
          <w:szCs w:val="44"/>
        </w:rPr>
        <w:t>)</w:t>
      </w:r>
    </w:p>
    <w:p w14:paraId="656139BE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5DF109CF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03123799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6CEBA38C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26EE3031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1ABB9BCC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58AD8DAF" w14:textId="77777777" w:rsidR="00402143" w:rsidRDefault="00402143">
      <w:pPr>
        <w:rPr>
          <w:rFonts w:ascii="Calibri" w:eastAsia="Calibri" w:hAnsi="Calibri" w:cs="Times New Roman"/>
          <w:lang w:eastAsia="pl-PL"/>
        </w:rPr>
      </w:pPr>
    </w:p>
    <w:p w14:paraId="3E50AEE1" w14:textId="77777777" w:rsidR="00BF3163" w:rsidRDefault="00BF3163">
      <w:pPr>
        <w:rPr>
          <w:rFonts w:ascii="Calibri" w:eastAsia="Calibri" w:hAnsi="Calibri" w:cs="Times New Roman"/>
          <w:sz w:val="24"/>
          <w:szCs w:val="24"/>
          <w:lang w:eastAsia="pl-PL"/>
        </w:rPr>
      </w:pPr>
    </w:p>
    <w:p w14:paraId="14766799" w14:textId="77777777" w:rsidR="00D901F9" w:rsidRDefault="00D901F9">
      <w:pPr>
        <w:rPr>
          <w:rFonts w:ascii="Calibri" w:eastAsia="Calibri" w:hAnsi="Calibri" w:cs="Times New Roman"/>
          <w:sz w:val="24"/>
          <w:szCs w:val="24"/>
          <w:lang w:eastAsia="pl-PL"/>
        </w:rPr>
      </w:pPr>
    </w:p>
    <w:p w14:paraId="4E951A94" w14:textId="294DCF39" w:rsidR="00124696" w:rsidRPr="00D901F9" w:rsidRDefault="00402143" w:rsidP="00124696">
      <w:pPr>
        <w:rPr>
          <w:rFonts w:cstheme="minorHAnsi"/>
          <w:b/>
          <w:sz w:val="24"/>
          <w:szCs w:val="24"/>
        </w:rPr>
      </w:pPr>
      <w:r w:rsidRPr="00B5272F">
        <w:rPr>
          <w:rFonts w:ascii="Calibri" w:eastAsia="Calibri" w:hAnsi="Calibri" w:cs="Times New Roman"/>
          <w:sz w:val="24"/>
          <w:szCs w:val="24"/>
          <w:lang w:eastAsia="pl-PL"/>
        </w:rPr>
        <w:t xml:space="preserve">Opole, </w:t>
      </w:r>
      <w:r w:rsidR="00B5272F" w:rsidRPr="00B5272F">
        <w:rPr>
          <w:rFonts w:ascii="Calibri" w:eastAsia="Calibri" w:hAnsi="Calibri" w:cs="Times New Roman"/>
          <w:sz w:val="24"/>
          <w:szCs w:val="24"/>
          <w:lang w:eastAsia="pl-PL"/>
        </w:rPr>
        <w:t xml:space="preserve">maj </w:t>
      </w:r>
      <w:r w:rsidRPr="00B5272F">
        <w:rPr>
          <w:rFonts w:ascii="Calibri" w:eastAsia="Calibri" w:hAnsi="Calibri" w:cs="Times New Roman"/>
          <w:sz w:val="24"/>
          <w:szCs w:val="24"/>
          <w:lang w:eastAsia="pl-PL"/>
        </w:rPr>
        <w:t>202</w:t>
      </w:r>
      <w:r w:rsidR="0018393B" w:rsidRPr="00B5272F">
        <w:rPr>
          <w:rFonts w:ascii="Calibri" w:eastAsia="Calibri" w:hAnsi="Calibri" w:cs="Times New Roman"/>
          <w:sz w:val="24"/>
          <w:szCs w:val="24"/>
          <w:lang w:eastAsia="pl-PL"/>
        </w:rPr>
        <w:t>5</w:t>
      </w:r>
      <w:r w:rsidRPr="00B5272F">
        <w:rPr>
          <w:rFonts w:ascii="Calibri" w:eastAsia="Calibri" w:hAnsi="Calibri" w:cs="Times New Roman"/>
          <w:sz w:val="24"/>
          <w:szCs w:val="24"/>
          <w:lang w:eastAsia="pl-PL"/>
        </w:rPr>
        <w:t xml:space="preserve"> r.</w:t>
      </w:r>
    </w:p>
    <w:p w14:paraId="32DEE5CC" w14:textId="74D1FD70" w:rsidR="0067215E" w:rsidRPr="004F5C12" w:rsidRDefault="0067215E" w:rsidP="0067215E">
      <w:pPr>
        <w:keepNext/>
        <w:spacing w:before="240" w:after="0" w:line="276" w:lineRule="auto"/>
        <w:outlineLvl w:val="2"/>
        <w:rPr>
          <w:rFonts w:ascii="Calibri" w:eastAsia="Times New Roman" w:hAnsi="Calibri" w:cs="Calibri"/>
          <w:b/>
          <w:sz w:val="32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32"/>
          <w:szCs w:val="20"/>
          <w:lang w:eastAsia="pl-PL"/>
        </w:rPr>
        <w:lastRenderedPageBreak/>
        <w:t>Działanie FEOP.0</w:t>
      </w:r>
      <w:r w:rsidR="00750385">
        <w:rPr>
          <w:rFonts w:ascii="Calibri" w:eastAsia="Times New Roman" w:hAnsi="Calibri" w:cs="Calibri"/>
          <w:b/>
          <w:sz w:val="32"/>
          <w:szCs w:val="20"/>
          <w:lang w:eastAsia="pl-PL"/>
        </w:rPr>
        <w:t>6</w:t>
      </w:r>
      <w:r w:rsidRPr="004F5C12">
        <w:rPr>
          <w:rFonts w:ascii="Calibri" w:eastAsia="Times New Roman" w:hAnsi="Calibri" w:cs="Calibri"/>
          <w:b/>
          <w:sz w:val="32"/>
          <w:szCs w:val="20"/>
          <w:lang w:eastAsia="pl-PL"/>
        </w:rPr>
        <w:t>.0</w:t>
      </w:r>
      <w:r w:rsidR="00750385">
        <w:rPr>
          <w:rFonts w:ascii="Calibri" w:eastAsia="Times New Roman" w:hAnsi="Calibri" w:cs="Calibri"/>
          <w:b/>
          <w:sz w:val="32"/>
          <w:szCs w:val="20"/>
          <w:lang w:eastAsia="pl-PL"/>
        </w:rPr>
        <w:t>1</w:t>
      </w:r>
      <w:r w:rsidRPr="004F5C12">
        <w:rPr>
          <w:rFonts w:ascii="Calibri" w:eastAsia="Times New Roman" w:hAnsi="Calibri" w:cs="Calibri"/>
          <w:b/>
          <w:sz w:val="32"/>
          <w:szCs w:val="20"/>
          <w:lang w:eastAsia="pl-PL"/>
        </w:rPr>
        <w:t xml:space="preserve"> </w:t>
      </w:r>
      <w:r w:rsidR="00750385">
        <w:rPr>
          <w:rFonts w:ascii="Calibri" w:eastAsia="Times New Roman" w:hAnsi="Calibri" w:cs="Calibri"/>
          <w:b/>
          <w:sz w:val="32"/>
          <w:szCs w:val="20"/>
          <w:lang w:eastAsia="pl-PL"/>
        </w:rPr>
        <w:t>Wsparcie ekonomii społecznej</w:t>
      </w:r>
    </w:p>
    <w:p w14:paraId="2C2298E7" w14:textId="77777777" w:rsidR="0067215E" w:rsidRPr="004F5C12" w:rsidRDefault="0067215E" w:rsidP="0067215E">
      <w:pPr>
        <w:spacing w:after="0" w:line="276" w:lineRule="auto"/>
        <w:rPr>
          <w:rFonts w:ascii="Calibri" w:eastAsia="Times New Roman" w:hAnsi="Calibri" w:cs="Calibri"/>
          <w:sz w:val="32"/>
          <w:szCs w:val="20"/>
          <w:lang w:eastAsia="pl-PL"/>
        </w:rPr>
      </w:pPr>
    </w:p>
    <w:p w14:paraId="4650AEEF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Cel szczegółowy</w:t>
      </w:r>
    </w:p>
    <w:p w14:paraId="392BD86B" w14:textId="77777777" w:rsidR="00750385" w:rsidRDefault="00750385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50385">
        <w:rPr>
          <w:rFonts w:ascii="Calibri" w:eastAsia="Times New Roman" w:hAnsi="Calibri" w:cs="Calibri"/>
          <w:sz w:val="28"/>
          <w:szCs w:val="20"/>
          <w:lang w:eastAsia="pl-PL"/>
        </w:rPr>
        <w:t>EFS+.CP4.H - Wspieranie aktywnego włączenia społecznego w celu promowania równości szans, niedyskryminacji i aktywnego uczestnictwa, oraz zwiększanie zdolności do zatrudnienia, w szczególności grup w niekorzystnej sytuacji</w:t>
      </w:r>
    </w:p>
    <w:p w14:paraId="4BA83965" w14:textId="621A54B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Wysokość alokacji ogółem (EUR)</w:t>
      </w:r>
    </w:p>
    <w:p w14:paraId="38EBC5F2" w14:textId="77777777" w:rsidR="00750385" w:rsidRDefault="00750385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50385">
        <w:rPr>
          <w:rFonts w:ascii="Calibri" w:eastAsia="Times New Roman" w:hAnsi="Calibri" w:cs="Calibri"/>
          <w:sz w:val="28"/>
          <w:szCs w:val="20"/>
          <w:lang w:eastAsia="pl-PL"/>
        </w:rPr>
        <w:t>4 705 883,00</w:t>
      </w:r>
    </w:p>
    <w:p w14:paraId="3F419906" w14:textId="48159F3E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Wysokość alokacji UE (EUR)</w:t>
      </w:r>
    </w:p>
    <w:p w14:paraId="23B26D01" w14:textId="77777777" w:rsidR="00750385" w:rsidRDefault="00750385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50385">
        <w:rPr>
          <w:rFonts w:ascii="Calibri" w:eastAsia="Times New Roman" w:hAnsi="Calibri" w:cs="Calibri"/>
          <w:sz w:val="28"/>
          <w:szCs w:val="20"/>
          <w:lang w:eastAsia="pl-PL"/>
        </w:rPr>
        <w:t>4 000 000,00</w:t>
      </w:r>
    </w:p>
    <w:p w14:paraId="3667907E" w14:textId="0F0C8AD2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Zakres interwencji</w:t>
      </w:r>
    </w:p>
    <w:p w14:paraId="28B367F2" w14:textId="77777777" w:rsidR="00750385" w:rsidRDefault="00750385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50385">
        <w:rPr>
          <w:rFonts w:ascii="Calibri" w:eastAsia="Times New Roman" w:hAnsi="Calibri" w:cs="Calibri"/>
          <w:sz w:val="28"/>
          <w:szCs w:val="20"/>
          <w:lang w:eastAsia="pl-PL"/>
        </w:rPr>
        <w:t>138 - Wsparcie na rzecz ekonomii społecznej i przedsiębiorstw społecznych</w:t>
      </w:r>
    </w:p>
    <w:p w14:paraId="47891DA8" w14:textId="05A768EA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Opis działania</w:t>
      </w:r>
    </w:p>
    <w:p w14:paraId="72438D2C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Typy przedsięwzięć:</w:t>
      </w:r>
    </w:p>
    <w:p w14:paraId="64A02543" w14:textId="77777777" w:rsidR="0067215E" w:rsidRDefault="0067215E" w:rsidP="0067215E">
      <w:pPr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2C355C1" w14:textId="77777777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 xml:space="preserve">1. Wsparcie finansowe na utworzenie nowych miejsc pracy i ich początkowe utrzymanie (12 miesięcy) w: </w:t>
      </w:r>
    </w:p>
    <w:p w14:paraId="51FAB7E3" w14:textId="3ABD9053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a) w nowych przedsiębiorstwach społecznych (PS), w tym przedsiębiorstwach społecznych powstałych z przekształcenia podmiotów ekonomii społecznej (PES) w PS lub</w:t>
      </w:r>
    </w:p>
    <w:p w14:paraId="1556975F" w14:textId="621041FB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b) w istniejących PS, niekorzystających dotychczas ze wsparcia finansowego na utworzenie i utrzymanie miejsc pracy lub</w:t>
      </w:r>
    </w:p>
    <w:p w14:paraId="24C034D8" w14:textId="4329DA8E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c) w istniejących PS, korzystających ze wsparcia finansowego na utworzenie i utrzymanie miejsc pracy, po upływie okresu trwałości dla wszystkich stworzonych wcześniej miejsc pracy.</w:t>
      </w:r>
    </w:p>
    <w:p w14:paraId="37B243FE" w14:textId="5BA4527B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2. Usługi towarzyszące przyznaniu wsparcia finansowego na utworzenie i utrzymanie miejsc pracy w PS takie jak: doradztwo biznesowe, doradztwo w zakresie wzmocnienia potencjału kadrowego, finansowego i innowacyjnego, wsparcie w postępowaniach o udzielenie zamówienia publicznego.</w:t>
      </w:r>
    </w:p>
    <w:p w14:paraId="49FD1B67" w14:textId="09E30348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lastRenderedPageBreak/>
        <w:t>3. Wspieranie działalności PES/PS poprzez w szczególności doradztwo biznesowe, doradztwo w zakresie wzmocnienia potencjału kadrowego, finansowego i innowacyjnego, wsparcie w postępowaniach o udzielenie zamówienia publicznego.</w:t>
      </w:r>
    </w:p>
    <w:p w14:paraId="6501A39E" w14:textId="454D0944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4. Wsparcie tworzenia PES innych niż PS np. poprzez usługi doradcze i animacyjne bez wsparcia finansowego na utworzenie i utrzymanie miejsc pracy.</w:t>
      </w:r>
    </w:p>
    <w:p w14:paraId="376961D3" w14:textId="57411983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5. Animacja lokalna, polegająca na upowszechnianiu idei i zasad ekonomii społecznej, pobudzaniu aktywności społecznej w społecznościach lokalnych oraz inicjowaniu i rozwoju międzysektorowych partnerstw lokalnych.</w:t>
      </w:r>
    </w:p>
    <w:p w14:paraId="777C979E" w14:textId="69A5246F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6. Wsparcie realizacji indywidualnego planu reintegracyjnego, w tym wypłata wsparcia reintegracyjnego dla nowych pracowników PS.</w:t>
      </w:r>
    </w:p>
    <w:p w14:paraId="7F73B2DA" w14:textId="570E3B64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7. Rozwój umiejętności, kompetencji i kwalifikacji osób zatrudnianych w PES w szczególności przy wykorzystaniu Bazy Usług Rozwojowych (BUR).</w:t>
      </w:r>
    </w:p>
    <w:p w14:paraId="58093D39" w14:textId="0A3D2D75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8. Rozwój umiejętności, kompetencji i kwalifikacji kadr ekonomii społecznej, wynikających z regionalnych i lokalnych potrzeb.</w:t>
      </w:r>
    </w:p>
    <w:p w14:paraId="1A6D4F1E" w14:textId="77777777" w:rsidR="00750385" w:rsidRDefault="00750385" w:rsidP="0067215E">
      <w:pPr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E80E898" w14:textId="77777777" w:rsidR="00750385" w:rsidRPr="002A67D7" w:rsidRDefault="00750385" w:rsidP="0067215E">
      <w:pPr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EC27313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Warunki realizacji projektów:</w:t>
      </w:r>
    </w:p>
    <w:p w14:paraId="3793457B" w14:textId="416EDA74" w:rsidR="00750385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1.</w:t>
      </w:r>
      <w:r w:rsidR="00750385" w:rsidRPr="000E4E65">
        <w:rPr>
          <w:rFonts w:ascii="Calibri" w:eastAsia="Times New Roman" w:hAnsi="Calibri" w:cs="Calibri"/>
          <w:sz w:val="28"/>
          <w:szCs w:val="20"/>
          <w:lang w:eastAsia="pl-PL"/>
        </w:rPr>
        <w:t>Wsparcie w obszarze ekonomii społecznej jest zgodne z:</w:t>
      </w:r>
    </w:p>
    <w:p w14:paraId="60F518A2" w14:textId="59E7107B" w:rsidR="00750385" w:rsidRPr="000E4E65" w:rsidRDefault="00750385" w:rsidP="00750385">
      <w:pPr>
        <w:pStyle w:val="Akapitzlist"/>
        <w:numPr>
          <w:ilvl w:val="0"/>
          <w:numId w:val="23"/>
        </w:num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ustawą z dnia 5 sierpnia 2022 r. o ekonomii społecznej</w:t>
      </w:r>
    </w:p>
    <w:p w14:paraId="1810DC7B" w14:textId="440F9FA3" w:rsidR="00750385" w:rsidRPr="000E4E65" w:rsidRDefault="00750385" w:rsidP="00750385">
      <w:pPr>
        <w:pStyle w:val="Akapitzlist"/>
        <w:numPr>
          <w:ilvl w:val="0"/>
          <w:numId w:val="23"/>
        </w:num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Krajowym Programem Rozwoju Ekonomii Społecznej do 2023 roku. Ekonomia solidarności społecznej oraz jego aktualizacją,</w:t>
      </w:r>
    </w:p>
    <w:p w14:paraId="3976F07B" w14:textId="77777777" w:rsidR="007D688A" w:rsidRPr="000E4E65" w:rsidRDefault="00750385" w:rsidP="007D688A">
      <w:pPr>
        <w:pStyle w:val="Akapitzlist"/>
        <w:numPr>
          <w:ilvl w:val="0"/>
          <w:numId w:val="23"/>
        </w:num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dokumentem pn. Zasady udzielania wsparcia dla podmiotów ekonomii społecznej i przedsiębiorstw społecznych w ramach działania 6.1 Wsparcie ekonomii społecznej FEO 2021-2027, który</w:t>
      </w:r>
      <w:r w:rsidR="007D688A" w:rsidRPr="000E4E65">
        <w:t xml:space="preserve"> </w:t>
      </w:r>
      <w:r w:rsidR="007D688A" w:rsidRPr="000E4E65">
        <w:rPr>
          <w:rFonts w:ascii="Calibri" w:eastAsia="Times New Roman" w:hAnsi="Calibri" w:cs="Calibri"/>
          <w:sz w:val="28"/>
          <w:szCs w:val="20"/>
          <w:lang w:eastAsia="pl-PL"/>
        </w:rPr>
        <w:t>stanowić będzie załącznik do umowy o dofinansowanie projektu.</w:t>
      </w:r>
      <w:r w:rsidR="007D688A" w:rsidRPr="000E4E65">
        <w:t xml:space="preserve"> </w:t>
      </w:r>
    </w:p>
    <w:p w14:paraId="68AC4E0F" w14:textId="22F48317" w:rsidR="00750385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2. Pozostałe warunki niezbędne do realizacji projektów niewskazane w SZOP 2021-2027 dla działania określone są w pozostałych dokumentach IZ FEO niezbędnych dla przeprowadzenia postępowania konkurencyjnego, w tym w Regulaminie wyboru projektów/umowie o dofinansowanie.</w:t>
      </w:r>
    </w:p>
    <w:p w14:paraId="27DD44B2" w14:textId="77777777" w:rsidR="00750385" w:rsidRDefault="00750385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</w:p>
    <w:p w14:paraId="77DCE388" w14:textId="77777777" w:rsidR="00113E62" w:rsidRDefault="00113E62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</w:p>
    <w:p w14:paraId="6E6D6AE2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lastRenderedPageBreak/>
        <w:t>Maksymalny % poziom dofinansowania UE w projekcie</w:t>
      </w:r>
    </w:p>
    <w:p w14:paraId="76AA403B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85</w:t>
      </w:r>
    </w:p>
    <w:p w14:paraId="7C6F196E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Maksymalny % poziom dofinansowania całkowitego wydatków kwalifikowalnych na poziomie projektu (środki UE + współfinansowanie ze środków krajowych przyznane beneficjentowi przez właściwą instytucję)</w:t>
      </w:r>
    </w:p>
    <w:p w14:paraId="4D2F96DB" w14:textId="787875F5" w:rsidR="0067215E" w:rsidRPr="004F5C12" w:rsidRDefault="007D688A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>
        <w:rPr>
          <w:rFonts w:ascii="Calibri" w:eastAsia="Times New Roman" w:hAnsi="Calibri" w:cs="Calibri"/>
          <w:sz w:val="28"/>
          <w:szCs w:val="20"/>
          <w:lang w:eastAsia="pl-PL"/>
        </w:rPr>
        <w:t>98</w:t>
      </w:r>
    </w:p>
    <w:p w14:paraId="35BB402D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Pomoc publiczna – unijna podstawa prawna</w:t>
      </w:r>
    </w:p>
    <w:p w14:paraId="08101ABA" w14:textId="1DA4287A" w:rsidR="0067215E" w:rsidRDefault="007D688A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 xml:space="preserve">Bez pomocy, Rozporządzenie Komisji (UE) 2023/2831 z dnia 13 grudnia 2023 r. w sprawie stosowania art. 107 i 108 Traktatu o funkcjonowaniu Unii Europejskiej do pomocy de </w:t>
      </w:r>
      <w:proofErr w:type="spellStart"/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minimis</w:t>
      </w:r>
      <w:proofErr w:type="spellEnd"/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 xml:space="preserve"> (Dz. Urz. UE L z 15.12.2023)</w:t>
      </w:r>
    </w:p>
    <w:p w14:paraId="6CDDF84E" w14:textId="77777777" w:rsidR="0067215E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</w:p>
    <w:p w14:paraId="1A8BC505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Pomoc publiczna – krajowa podstawa prawna</w:t>
      </w:r>
    </w:p>
    <w:p w14:paraId="4208B777" w14:textId="77777777" w:rsidR="007D688A" w:rsidRDefault="007D688A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 xml:space="preserve">Bez pomocy, Rozporządzenie Ministra Funduszy i Polityki Regionalnej z dnia 20 grudnia 2022 r. w sprawie udzielania pomocy de </w:t>
      </w:r>
      <w:proofErr w:type="spellStart"/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minimis</w:t>
      </w:r>
      <w:proofErr w:type="spellEnd"/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 xml:space="preserve"> oraz pomocy publicznej w ramach programów finansowanych z Europejskiego Funduszu Społecznego Plus (EFS+) na lata 2021–2027 (Dz.U. 2022 poz. 2782, z </w:t>
      </w:r>
      <w:proofErr w:type="spellStart"/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późn</w:t>
      </w:r>
      <w:proofErr w:type="spellEnd"/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. zm.)</w:t>
      </w:r>
    </w:p>
    <w:p w14:paraId="72AB725D" w14:textId="637317A3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Uproszczone metody rozliczania</w:t>
      </w:r>
    </w:p>
    <w:p w14:paraId="07641285" w14:textId="77777777" w:rsidR="007D688A" w:rsidRDefault="007D688A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do 25% stawka ryczałtowa na koszty pośrednie w oparciu o metodykę IZ (podstawa wyliczenia: koszty bezpośrednie) [art. 54(c) CPR], stawka jednostkowa w oparciu o metodykę IZ [art. 53(3)(a) CPR]</w:t>
      </w:r>
    </w:p>
    <w:p w14:paraId="18E0C2D7" w14:textId="25271AB6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Forma wsparcia</w:t>
      </w:r>
    </w:p>
    <w:p w14:paraId="019F5FD1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Dotacja</w:t>
      </w:r>
    </w:p>
    <w:p w14:paraId="5A2B80C2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Dopuszczalny cross-</w:t>
      </w:r>
      <w:proofErr w:type="spellStart"/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financing</w:t>
      </w:r>
      <w:proofErr w:type="spellEnd"/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(%)</w:t>
      </w:r>
    </w:p>
    <w:p w14:paraId="51F77648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15</w:t>
      </w:r>
    </w:p>
    <w:p w14:paraId="1D818B5D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Minimalny wkład własny beneficjenta</w:t>
      </w:r>
    </w:p>
    <w:p w14:paraId="0DCC3525" w14:textId="59A97F30" w:rsidR="0067215E" w:rsidRPr="004F5C12" w:rsidRDefault="007D688A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>
        <w:rPr>
          <w:rFonts w:ascii="Calibri" w:eastAsia="Times New Roman" w:hAnsi="Calibri" w:cs="Calibri"/>
          <w:sz w:val="28"/>
          <w:szCs w:val="20"/>
          <w:lang w:eastAsia="pl-PL"/>
        </w:rPr>
        <w:t>2</w:t>
      </w:r>
      <w:r w:rsidR="0067215E" w:rsidRPr="004F5C12">
        <w:rPr>
          <w:rFonts w:ascii="Calibri" w:eastAsia="Times New Roman" w:hAnsi="Calibri" w:cs="Calibri"/>
          <w:sz w:val="28"/>
          <w:szCs w:val="20"/>
          <w:lang w:eastAsia="pl-PL"/>
        </w:rPr>
        <w:t>%</w:t>
      </w:r>
    </w:p>
    <w:p w14:paraId="7011CBF1" w14:textId="77777777" w:rsidR="00113E62" w:rsidRDefault="00113E62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</w:p>
    <w:p w14:paraId="6E1F956B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lastRenderedPageBreak/>
        <w:t>Sposób wyboru projektów</w:t>
      </w:r>
    </w:p>
    <w:p w14:paraId="4CB426ED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Konkurencyjny</w:t>
      </w:r>
    </w:p>
    <w:p w14:paraId="36463215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Realizacja instrumentów terytorialnych</w:t>
      </w:r>
    </w:p>
    <w:p w14:paraId="3DFC1D41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Nie dotyczy</w:t>
      </w:r>
    </w:p>
    <w:p w14:paraId="0BFB2759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Typ beneficjenta – ogólny</w:t>
      </w:r>
    </w:p>
    <w:p w14:paraId="40D0B9E5" w14:textId="7C12ACD8" w:rsidR="0067215E" w:rsidRDefault="007D688A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Administracja publiczna, Organizacje społeczne i związki wyznaniowe, Partnerstwa, Służby publiczne</w:t>
      </w:r>
    </w:p>
    <w:p w14:paraId="22785086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Typ beneficjenta – szczegółowy</w:t>
      </w:r>
    </w:p>
    <w:p w14:paraId="122C4A1B" w14:textId="77777777" w:rsidR="007D688A" w:rsidRDefault="007D688A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Instytucje integracji i pomocy społecznej, Jednostki Samorządu Terytorialnego, Kluby sportowe, centra sportu, Kościoły i związki wyznaniowe, Niepubliczne podmioty integracji i pomocy społecznej, Organizacje pozarządowe, Partnerstwa instytucji pozarządowych, Podmioty ekonomii społecznej</w:t>
      </w:r>
    </w:p>
    <w:p w14:paraId="68463BC9" w14:textId="4823A98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Grupa docelowa</w:t>
      </w:r>
    </w:p>
    <w:p w14:paraId="05EA7BC4" w14:textId="505CBA00" w:rsidR="007D688A" w:rsidRDefault="007D688A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osoby fizyczne chcące założyć działalność w sektorze ekonomii społecznej, osoby prawne zamierzające założyć przedsiębiorstwo społeczne, osoby zagrożone ubóstwem i wykluczeniem społecznym, otoczenie sektora ekonomii społecznej, podmioty ekonomii społecznej (w tym przedsiębiorstwa społeczne), pracownicy podmiotów ekonomii społecznej</w:t>
      </w:r>
      <w:r w:rsidR="00113E62">
        <w:rPr>
          <w:rFonts w:ascii="Calibri" w:eastAsia="Times New Roman" w:hAnsi="Calibri" w:cs="Calibri"/>
          <w:sz w:val="28"/>
          <w:szCs w:val="20"/>
          <w:lang w:eastAsia="pl-PL"/>
        </w:rPr>
        <w:t xml:space="preserve"> (w tym przedsiębiorstw społecznych), wolontariusze podmiotów ekonomii społecznej</w:t>
      </w:r>
    </w:p>
    <w:p w14:paraId="1C358797" w14:textId="0F9AC8A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Słowa kluczowe</w:t>
      </w:r>
    </w:p>
    <w:p w14:paraId="09845EB9" w14:textId="77777777" w:rsidR="007D688A" w:rsidRDefault="007D688A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proofErr w:type="spellStart"/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ekonomia_społeczna</w:t>
      </w:r>
      <w:proofErr w:type="spellEnd"/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 xml:space="preserve">, </w:t>
      </w:r>
      <w:proofErr w:type="spellStart"/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przedsiębiorczość_społeczna</w:t>
      </w:r>
      <w:proofErr w:type="spellEnd"/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 xml:space="preserve">, </w:t>
      </w:r>
      <w:proofErr w:type="spellStart"/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włączenie_społeczne</w:t>
      </w:r>
      <w:proofErr w:type="spellEnd"/>
    </w:p>
    <w:p w14:paraId="653C9F1E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Kryteria wyboru projektów</w:t>
      </w:r>
    </w:p>
    <w:p w14:paraId="5A92BBDD" w14:textId="15C2F725" w:rsidR="00113E62" w:rsidRPr="00281485" w:rsidRDefault="009D1548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281485">
        <w:rPr>
          <w:rFonts w:ascii="Calibri" w:eastAsia="Times New Roman" w:hAnsi="Calibri" w:cs="Calibri"/>
          <w:sz w:val="28"/>
          <w:szCs w:val="20"/>
          <w:lang w:eastAsia="pl-PL"/>
        </w:rPr>
        <w:t>https://funduszeue.opolskie.pl/komitet-monitorujacy-feo-2021-2027</w:t>
      </w:r>
    </w:p>
    <w:p w14:paraId="638A676F" w14:textId="09A90317" w:rsidR="0067215E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Wskaźniki produktu</w:t>
      </w:r>
    </w:p>
    <w:p w14:paraId="5022C7BF" w14:textId="77777777" w:rsidR="007D688A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WLWK-PL0CO02 - Liczba obiektów dostosowanych do potrzeb osób z niepełnosprawnościami</w:t>
      </w:r>
    </w:p>
    <w:p w14:paraId="6155D3A9" w14:textId="77777777" w:rsidR="007D688A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lastRenderedPageBreak/>
        <w:t>WLWK-EECO19 - Liczba objętych wsparciem mikro-, małych i średnich przedsiębiorstw (w tym spółdzielni i przedsiębiorstw społecznych)</w:t>
      </w:r>
    </w:p>
    <w:p w14:paraId="34A5DC1A" w14:textId="77777777" w:rsidR="007D688A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WLWK-EECO18 - Liczba objętych wsparciem podmiotów administracji publicznej lub służb publicznych na szczeblu krajowym, regionalnym lub lokalnym</w:t>
      </w:r>
    </w:p>
    <w:p w14:paraId="59F9A5E3" w14:textId="77777777" w:rsidR="007D688A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WLWK-EECO02 - Liczba osób bezrobotnych, w tym długotrwale bezrobotnych, objętych wsparciem w programie</w:t>
      </w:r>
    </w:p>
    <w:p w14:paraId="595DEA80" w14:textId="77777777" w:rsidR="007D688A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WLWK-EECO04 - Liczba osób biernych zawodowo objętych wsparciem w programie</w:t>
      </w:r>
    </w:p>
    <w:p w14:paraId="5484E266" w14:textId="02FA2611" w:rsidR="007D688A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WLWK-EECO03 - Liczba osób długotrwale bezrobotnych objętych wsparciem w programie</w:t>
      </w:r>
    </w:p>
    <w:p w14:paraId="20FF5D32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WLWK-EECO15 - Liczba osób należących do mniejszości, w tym społeczności marginalizowanych takich jak Romowie, objętych wsparciem w programie</w:t>
      </w:r>
    </w:p>
    <w:p w14:paraId="7FA70F64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WLWK-EECO14 - Liczba osób obcego pochodzenia objętych wsparciem w programie</w:t>
      </w:r>
    </w:p>
    <w:p w14:paraId="4706736D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WLWK-EECO16 - Liczba osób w kryzysie bezdomności lub dotkniętych wykluczeniem z dostępu do mieszkań, objętych wsparciem w programie</w:t>
      </w:r>
    </w:p>
    <w:p w14:paraId="5D86FF6D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WLWK-EECO13 - Liczba osób z krajów trzecich objętych wsparciem w programie</w:t>
      </w:r>
    </w:p>
    <w:p w14:paraId="1F01E8D8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WLWK-EECO12 - Liczba osób z niepełnosprawnościami objętych wsparciem w programie</w:t>
      </w:r>
    </w:p>
    <w:p w14:paraId="274E5DB1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WLWK-PLHCO01 - Liczba podmiotów ekonomii społecznej objętych wsparciem</w:t>
      </w:r>
    </w:p>
    <w:p w14:paraId="046D2420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WLWK-PL0CO01 - Liczba projektów, w których sfinansowano koszty racjonalnych usprawnień dla osób z niepełnosprawnościami</w:t>
      </w:r>
    </w:p>
    <w:p w14:paraId="6A0F846A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PROG-FEOSP613 - Liczba miejsc pracy utrzymanych przez 12 miesięcy na 1/2 etatu</w:t>
      </w:r>
    </w:p>
    <w:p w14:paraId="7057B776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PROG-FEOSP612 - Liczba miejsc pracy utrzymanych przez 12 miesięcy na 3/4 etatu</w:t>
      </w:r>
    </w:p>
    <w:p w14:paraId="41125B22" w14:textId="70262BB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lastRenderedPageBreak/>
        <w:t>PROG-FEOSP611 - Liczba miejsc pracy utrzymanych przez 12 miesięcy na pełny etat</w:t>
      </w:r>
    </w:p>
    <w:p w14:paraId="0E7638D5" w14:textId="77777777" w:rsidR="0067215E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Wskaźniki rezultatu</w:t>
      </w:r>
    </w:p>
    <w:p w14:paraId="48612A74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WLWK-PLHCR01 - Liczba miejsc pracy utworzonych w przedsiębiorstwach społecznych</w:t>
      </w:r>
    </w:p>
    <w:p w14:paraId="4858D88C" w14:textId="52A688B2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WLWK-PLHILCR01 - Liczba osób, których sytuacja społeczna uległa poprawie po opuszczeniu programu</w:t>
      </w:r>
    </w:p>
    <w:sectPr w:rsidR="000E4E65" w:rsidRPr="000E4E65" w:rsidSect="005072F2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34CF9" w14:textId="77777777" w:rsidR="00E4702F" w:rsidRDefault="00E4702F" w:rsidP="002119AC">
      <w:pPr>
        <w:spacing w:after="0" w:line="240" w:lineRule="auto"/>
      </w:pPr>
      <w:r>
        <w:separator/>
      </w:r>
    </w:p>
  </w:endnote>
  <w:endnote w:type="continuationSeparator" w:id="0">
    <w:p w14:paraId="30100E7A" w14:textId="77777777" w:rsidR="00E4702F" w:rsidRDefault="00E4702F" w:rsidP="0021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95A46" w14:textId="77777777" w:rsidR="00E4702F" w:rsidRDefault="00E4702F" w:rsidP="002119AC">
      <w:pPr>
        <w:spacing w:after="0" w:line="240" w:lineRule="auto"/>
      </w:pPr>
      <w:r>
        <w:separator/>
      </w:r>
    </w:p>
  </w:footnote>
  <w:footnote w:type="continuationSeparator" w:id="0">
    <w:p w14:paraId="07ADEE25" w14:textId="77777777" w:rsidR="00E4702F" w:rsidRDefault="00E4702F" w:rsidP="0021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45093" w14:textId="43D95803" w:rsidR="005072F2" w:rsidRPr="00BF3163" w:rsidRDefault="005072F2" w:rsidP="005072F2">
    <w:pPr>
      <w:autoSpaceDE w:val="0"/>
      <w:autoSpaceDN w:val="0"/>
      <w:spacing w:after="0" w:line="276" w:lineRule="auto"/>
      <w:rPr>
        <w:rFonts w:ascii="Calibri" w:eastAsia="Calibri" w:hAnsi="Calibri" w:cs="Times New Roman"/>
        <w:iCs/>
        <w:sz w:val="24"/>
        <w:szCs w:val="24"/>
      </w:rPr>
    </w:pPr>
    <w:r w:rsidRPr="00BF3163">
      <w:rPr>
        <w:rFonts w:ascii="Calibri" w:eastAsia="Calibri" w:hAnsi="Calibri" w:cs="Times New Roman"/>
        <w:b/>
        <w:bCs/>
        <w:iCs/>
        <w:sz w:val="24"/>
        <w:szCs w:val="24"/>
      </w:rPr>
      <w:t xml:space="preserve">Załącznik nr </w:t>
    </w:r>
    <w:r>
      <w:rPr>
        <w:rFonts w:ascii="Calibri" w:eastAsia="Calibri" w:hAnsi="Calibri" w:cs="Times New Roman"/>
        <w:b/>
        <w:bCs/>
        <w:iCs/>
        <w:sz w:val="24"/>
        <w:szCs w:val="24"/>
      </w:rPr>
      <w:t>10</w:t>
    </w:r>
    <w:r w:rsidRPr="00BF3163">
      <w:rPr>
        <w:rFonts w:ascii="Calibri" w:eastAsia="Calibri" w:hAnsi="Calibri" w:cs="Times New Roman"/>
        <w:bCs/>
        <w:iCs/>
        <w:sz w:val="24"/>
        <w:szCs w:val="24"/>
      </w:rPr>
      <w:t xml:space="preserve"> </w:t>
    </w:r>
    <w:r w:rsidRPr="00750385">
      <w:rPr>
        <w:rFonts w:ascii="Calibri" w:eastAsia="Calibri" w:hAnsi="Calibri" w:cs="Times New Roman"/>
        <w:b/>
        <w:bCs/>
        <w:iCs/>
        <w:sz w:val="24"/>
        <w:szCs w:val="24"/>
      </w:rPr>
      <w:t xml:space="preserve">do Regulaminu wyboru projektów nr FEOP.06.01-IP.02-001/25 dotyczącego </w:t>
    </w:r>
    <w:r w:rsidRPr="00750385">
      <w:rPr>
        <w:rFonts w:ascii="Calibri" w:eastAsia="Calibri" w:hAnsi="Calibri" w:cs="Times New Roman"/>
        <w:b/>
        <w:bCs/>
        <w:iCs/>
        <w:sz w:val="24"/>
        <w:szCs w:val="24"/>
      </w:rPr>
      <w:br/>
      <w:t xml:space="preserve">projektów złożonych w ramach postępowania konkurencyjnego działania 6.1 Wsparcie ekonomii społecznej priorytetu 6 Fundusze Europejskie wspierające ekonomię społeczną FEO 2021-2027, </w:t>
    </w:r>
    <w:r w:rsidR="00FA47B7">
      <w:rPr>
        <w:rFonts w:ascii="Calibri" w:eastAsia="Calibri" w:hAnsi="Calibri" w:cs="Times New Roman"/>
        <w:b/>
        <w:bCs/>
        <w:iCs/>
        <w:sz w:val="24"/>
        <w:szCs w:val="24"/>
      </w:rPr>
      <w:t xml:space="preserve">maj </w:t>
    </w:r>
    <w:r w:rsidRPr="00750385">
      <w:rPr>
        <w:rFonts w:ascii="Calibri" w:eastAsia="Calibri" w:hAnsi="Calibri" w:cs="Times New Roman"/>
        <w:b/>
        <w:bCs/>
        <w:iCs/>
        <w:sz w:val="24"/>
        <w:szCs w:val="24"/>
      </w:rPr>
      <w:t>2025 r.</w:t>
    </w:r>
  </w:p>
  <w:p w14:paraId="4BC6CFDA" w14:textId="77777777" w:rsidR="005072F2" w:rsidRPr="005072F2" w:rsidRDefault="005072F2" w:rsidP="00507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D85"/>
    <w:multiLevelType w:val="hybridMultilevel"/>
    <w:tmpl w:val="A23E8F8E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22FE8"/>
    <w:multiLevelType w:val="hybridMultilevel"/>
    <w:tmpl w:val="0FB4DD20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C7CF6"/>
    <w:multiLevelType w:val="hybridMultilevel"/>
    <w:tmpl w:val="6472019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4B3B9F"/>
    <w:multiLevelType w:val="hybridMultilevel"/>
    <w:tmpl w:val="2364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03BF7"/>
    <w:multiLevelType w:val="hybridMultilevel"/>
    <w:tmpl w:val="8D242E40"/>
    <w:lvl w:ilvl="0" w:tplc="D76AB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0C7A3B"/>
    <w:multiLevelType w:val="hybridMultilevel"/>
    <w:tmpl w:val="C0DE9E60"/>
    <w:lvl w:ilvl="0" w:tplc="6AA6FC0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C0746E"/>
    <w:multiLevelType w:val="hybridMultilevel"/>
    <w:tmpl w:val="CB6A3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A4D3E"/>
    <w:multiLevelType w:val="hybridMultilevel"/>
    <w:tmpl w:val="9BBE6956"/>
    <w:lvl w:ilvl="0" w:tplc="8822F920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0D1F33"/>
    <w:multiLevelType w:val="hybridMultilevel"/>
    <w:tmpl w:val="1A9410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751A7E"/>
    <w:multiLevelType w:val="hybridMultilevel"/>
    <w:tmpl w:val="07CC7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96945"/>
    <w:multiLevelType w:val="hybridMultilevel"/>
    <w:tmpl w:val="23D05F40"/>
    <w:lvl w:ilvl="0" w:tplc="9FDA00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E36A5"/>
    <w:multiLevelType w:val="hybridMultilevel"/>
    <w:tmpl w:val="378E8A12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60941"/>
    <w:multiLevelType w:val="hybridMultilevel"/>
    <w:tmpl w:val="5D669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93CD3"/>
    <w:multiLevelType w:val="hybridMultilevel"/>
    <w:tmpl w:val="24F41C7E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D7B80"/>
    <w:multiLevelType w:val="hybridMultilevel"/>
    <w:tmpl w:val="7B56F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67782"/>
    <w:multiLevelType w:val="hybridMultilevel"/>
    <w:tmpl w:val="11E4CE0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98B2022"/>
    <w:multiLevelType w:val="hybridMultilevel"/>
    <w:tmpl w:val="CE681A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061C51"/>
    <w:multiLevelType w:val="hybridMultilevel"/>
    <w:tmpl w:val="B2F4F05C"/>
    <w:lvl w:ilvl="0" w:tplc="BB5435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4507F"/>
    <w:multiLevelType w:val="hybridMultilevel"/>
    <w:tmpl w:val="96DC132A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E2C13"/>
    <w:multiLevelType w:val="hybridMultilevel"/>
    <w:tmpl w:val="922070D8"/>
    <w:lvl w:ilvl="0" w:tplc="0BFE8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708B6"/>
    <w:multiLevelType w:val="hybridMultilevel"/>
    <w:tmpl w:val="FBE64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96411"/>
    <w:multiLevelType w:val="hybridMultilevel"/>
    <w:tmpl w:val="20828CFA"/>
    <w:lvl w:ilvl="0" w:tplc="E15E87BE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035A7F"/>
    <w:multiLevelType w:val="hybridMultilevel"/>
    <w:tmpl w:val="2362EB9A"/>
    <w:lvl w:ilvl="0" w:tplc="04150017">
      <w:start w:val="1"/>
      <w:numFmt w:val="lowerLetter"/>
      <w:lvlText w:val="%1)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21"/>
  </w:num>
  <w:num w:numId="10">
    <w:abstractNumId w:val="19"/>
  </w:num>
  <w:num w:numId="11">
    <w:abstractNumId w:val="13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15"/>
  </w:num>
  <w:num w:numId="17">
    <w:abstractNumId w:val="2"/>
  </w:num>
  <w:num w:numId="18">
    <w:abstractNumId w:val="14"/>
  </w:num>
  <w:num w:numId="19">
    <w:abstractNumId w:val="22"/>
  </w:num>
  <w:num w:numId="20">
    <w:abstractNumId w:val="12"/>
  </w:num>
  <w:num w:numId="21">
    <w:abstractNumId w:val="20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AC"/>
    <w:rsid w:val="00001C98"/>
    <w:rsid w:val="00011015"/>
    <w:rsid w:val="000301F2"/>
    <w:rsid w:val="00036BD9"/>
    <w:rsid w:val="000401DA"/>
    <w:rsid w:val="00066B6F"/>
    <w:rsid w:val="000A1D14"/>
    <w:rsid w:val="000B5D44"/>
    <w:rsid w:val="000C1041"/>
    <w:rsid w:val="000E4E65"/>
    <w:rsid w:val="001119B8"/>
    <w:rsid w:val="00113E62"/>
    <w:rsid w:val="001154E6"/>
    <w:rsid w:val="00121336"/>
    <w:rsid w:val="00124696"/>
    <w:rsid w:val="00140708"/>
    <w:rsid w:val="00151083"/>
    <w:rsid w:val="0018393B"/>
    <w:rsid w:val="001B3B9A"/>
    <w:rsid w:val="001B40A4"/>
    <w:rsid w:val="001C278C"/>
    <w:rsid w:val="001D1414"/>
    <w:rsid w:val="001D3E3E"/>
    <w:rsid w:val="001E5313"/>
    <w:rsid w:val="001E77AC"/>
    <w:rsid w:val="00203A10"/>
    <w:rsid w:val="002119AC"/>
    <w:rsid w:val="002753D6"/>
    <w:rsid w:val="00281485"/>
    <w:rsid w:val="002A2454"/>
    <w:rsid w:val="002A28CA"/>
    <w:rsid w:val="002B02F9"/>
    <w:rsid w:val="002B337F"/>
    <w:rsid w:val="002D4AB7"/>
    <w:rsid w:val="00301B54"/>
    <w:rsid w:val="003271D3"/>
    <w:rsid w:val="00360B2C"/>
    <w:rsid w:val="003661E6"/>
    <w:rsid w:val="00393474"/>
    <w:rsid w:val="003D150E"/>
    <w:rsid w:val="003D52F9"/>
    <w:rsid w:val="00402143"/>
    <w:rsid w:val="00402C09"/>
    <w:rsid w:val="004174E9"/>
    <w:rsid w:val="00487104"/>
    <w:rsid w:val="004A463C"/>
    <w:rsid w:val="004C2F0F"/>
    <w:rsid w:val="004F4ECF"/>
    <w:rsid w:val="005072F2"/>
    <w:rsid w:val="00547A0B"/>
    <w:rsid w:val="0056523F"/>
    <w:rsid w:val="00580F89"/>
    <w:rsid w:val="0062032C"/>
    <w:rsid w:val="00642F6A"/>
    <w:rsid w:val="0067215E"/>
    <w:rsid w:val="00677325"/>
    <w:rsid w:val="006A7E8F"/>
    <w:rsid w:val="006B58DB"/>
    <w:rsid w:val="006C000E"/>
    <w:rsid w:val="006D3FBF"/>
    <w:rsid w:val="006D6C0D"/>
    <w:rsid w:val="006F1FFA"/>
    <w:rsid w:val="006F78CF"/>
    <w:rsid w:val="00700DCD"/>
    <w:rsid w:val="007257C7"/>
    <w:rsid w:val="00731FFA"/>
    <w:rsid w:val="00735F97"/>
    <w:rsid w:val="00746D73"/>
    <w:rsid w:val="00750385"/>
    <w:rsid w:val="007712DD"/>
    <w:rsid w:val="007C71B4"/>
    <w:rsid w:val="007D688A"/>
    <w:rsid w:val="007E251F"/>
    <w:rsid w:val="00816016"/>
    <w:rsid w:val="00824B0F"/>
    <w:rsid w:val="00825827"/>
    <w:rsid w:val="00834CFA"/>
    <w:rsid w:val="008658C1"/>
    <w:rsid w:val="00872443"/>
    <w:rsid w:val="008A22BE"/>
    <w:rsid w:val="008A5EE1"/>
    <w:rsid w:val="008D059B"/>
    <w:rsid w:val="008F0591"/>
    <w:rsid w:val="008F38F4"/>
    <w:rsid w:val="008F6497"/>
    <w:rsid w:val="009378E2"/>
    <w:rsid w:val="009736BD"/>
    <w:rsid w:val="009C1931"/>
    <w:rsid w:val="009D1548"/>
    <w:rsid w:val="009D4EE6"/>
    <w:rsid w:val="00A208AD"/>
    <w:rsid w:val="00A57975"/>
    <w:rsid w:val="00A72D08"/>
    <w:rsid w:val="00A956E1"/>
    <w:rsid w:val="00AA118F"/>
    <w:rsid w:val="00AB04A1"/>
    <w:rsid w:val="00AD29DF"/>
    <w:rsid w:val="00AE0DD8"/>
    <w:rsid w:val="00B0425F"/>
    <w:rsid w:val="00B06981"/>
    <w:rsid w:val="00B213A0"/>
    <w:rsid w:val="00B32267"/>
    <w:rsid w:val="00B371D4"/>
    <w:rsid w:val="00B453B6"/>
    <w:rsid w:val="00B50E90"/>
    <w:rsid w:val="00B5272F"/>
    <w:rsid w:val="00B57880"/>
    <w:rsid w:val="00B77CF9"/>
    <w:rsid w:val="00BA66C5"/>
    <w:rsid w:val="00BC1360"/>
    <w:rsid w:val="00BF3163"/>
    <w:rsid w:val="00C14A9E"/>
    <w:rsid w:val="00C47CA3"/>
    <w:rsid w:val="00C6523B"/>
    <w:rsid w:val="00C909C1"/>
    <w:rsid w:val="00C93436"/>
    <w:rsid w:val="00CC5BB6"/>
    <w:rsid w:val="00CC74E4"/>
    <w:rsid w:val="00CE5C9F"/>
    <w:rsid w:val="00D109EB"/>
    <w:rsid w:val="00D507C2"/>
    <w:rsid w:val="00D5499D"/>
    <w:rsid w:val="00D60B62"/>
    <w:rsid w:val="00D63C12"/>
    <w:rsid w:val="00D74E8E"/>
    <w:rsid w:val="00D901F9"/>
    <w:rsid w:val="00D91238"/>
    <w:rsid w:val="00D953B9"/>
    <w:rsid w:val="00DE3D68"/>
    <w:rsid w:val="00DE5AA9"/>
    <w:rsid w:val="00DF056B"/>
    <w:rsid w:val="00DF3718"/>
    <w:rsid w:val="00DF5324"/>
    <w:rsid w:val="00DF65CE"/>
    <w:rsid w:val="00E370D2"/>
    <w:rsid w:val="00E426B5"/>
    <w:rsid w:val="00E42E0C"/>
    <w:rsid w:val="00E4702F"/>
    <w:rsid w:val="00E85E89"/>
    <w:rsid w:val="00EA0E65"/>
    <w:rsid w:val="00EC426F"/>
    <w:rsid w:val="00EC6F41"/>
    <w:rsid w:val="00ED18FC"/>
    <w:rsid w:val="00F01CD1"/>
    <w:rsid w:val="00F2785A"/>
    <w:rsid w:val="00F40A36"/>
    <w:rsid w:val="00F44837"/>
    <w:rsid w:val="00FA47B7"/>
    <w:rsid w:val="00FB1180"/>
    <w:rsid w:val="00FB709D"/>
    <w:rsid w:val="00FD543F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64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9AC"/>
  </w:style>
  <w:style w:type="paragraph" w:styleId="Stopka">
    <w:name w:val="footer"/>
    <w:basedOn w:val="Normalny"/>
    <w:link w:val="Stopka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9AC"/>
  </w:style>
  <w:style w:type="paragraph" w:customStyle="1" w:styleId="Default">
    <w:name w:val="Default"/>
    <w:rsid w:val="00124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069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B5D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B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50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688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47A0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15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9AC"/>
  </w:style>
  <w:style w:type="paragraph" w:styleId="Stopka">
    <w:name w:val="footer"/>
    <w:basedOn w:val="Normalny"/>
    <w:link w:val="Stopka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9AC"/>
  </w:style>
  <w:style w:type="paragraph" w:customStyle="1" w:styleId="Default">
    <w:name w:val="Default"/>
    <w:rsid w:val="00124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069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B5D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B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50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688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47A0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1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7D279-077E-408F-8F86-7E5C2EB0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1048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Ilona Krupa</cp:lastModifiedBy>
  <cp:revision>3</cp:revision>
  <dcterms:created xsi:type="dcterms:W3CDTF">2025-05-05T06:39:00Z</dcterms:created>
  <dcterms:modified xsi:type="dcterms:W3CDTF">2025-05-05T10:05:00Z</dcterms:modified>
</cp:coreProperties>
</file>