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B63B3" w14:textId="7217B1C6" w:rsidR="00A205B4" w:rsidRPr="00616630" w:rsidRDefault="00616630" w:rsidP="00616630">
      <w:pPr>
        <w:jc w:val="center"/>
        <w:rPr>
          <w:rFonts w:ascii="Calibri" w:eastAsia="Times New Roman" w:hAnsi="Calibri" w:cs="Times New Roman"/>
          <w:b/>
          <w:iCs/>
          <w:color w:val="000099"/>
          <w:sz w:val="24"/>
          <w:szCs w:val="24"/>
        </w:rPr>
      </w:pPr>
      <w:r w:rsidRPr="00D17334">
        <w:rPr>
          <w:rFonts w:ascii="Liberation Serif" w:eastAsia="NSimSun" w:hAnsi="Liberation Serif" w:cs="Arial"/>
          <w:iCs/>
          <w:noProof/>
          <w:kern w:val="3"/>
          <w:sz w:val="24"/>
          <w:szCs w:val="24"/>
          <w:lang w:eastAsia="pl-PL"/>
        </w:rPr>
        <w:drawing>
          <wp:inline distT="0" distB="0" distL="0" distR="0" wp14:anchorId="120BDB04" wp14:editId="6BDDD316">
            <wp:extent cx="6120134" cy="678951"/>
            <wp:effectExtent l="0" t="0" r="0" b="6849"/>
            <wp:docPr id="1" name="Obraz 1" descr="Zestawienie logotypów: znak Funduszy Europejskich, barwy  Rzeczypospolitej Polskiej, oficjalne logo promocyjne Województwa Opolskiego „Opolskie” oraz znak Unii Europejskiej"/>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120134" cy="678951"/>
                    </a:xfrm>
                    <a:prstGeom prst="rect">
                      <a:avLst/>
                    </a:prstGeom>
                    <a:noFill/>
                    <a:ln>
                      <a:noFill/>
                      <a:prstDash/>
                    </a:ln>
                  </pic:spPr>
                </pic:pic>
              </a:graphicData>
            </a:graphic>
          </wp:inline>
        </w:drawing>
      </w:r>
    </w:p>
    <w:p w14:paraId="23DC9EA0" w14:textId="459898C7" w:rsidR="00A205B4" w:rsidRPr="00616630" w:rsidRDefault="00A205B4" w:rsidP="00B63D17">
      <w:pPr>
        <w:jc w:val="center"/>
        <w:rPr>
          <w:rFonts w:ascii="Calibri" w:eastAsia="Times New Roman" w:hAnsi="Calibri" w:cs="Times New Roman"/>
          <w:b/>
          <w:iCs/>
          <w:color w:val="000099"/>
          <w:sz w:val="24"/>
          <w:szCs w:val="24"/>
        </w:rPr>
      </w:pPr>
    </w:p>
    <w:p w14:paraId="71912007" w14:textId="77777777" w:rsidR="00F5372B" w:rsidRPr="00616630" w:rsidRDefault="00F5372B" w:rsidP="00F5372B">
      <w:pPr>
        <w:spacing w:after="120"/>
        <w:rPr>
          <w:rFonts w:ascii="Calibri" w:eastAsia="NSimSun" w:hAnsi="Calibri" w:cs="Calibri"/>
          <w:b/>
          <w:iCs/>
          <w:kern w:val="3"/>
          <w:sz w:val="24"/>
          <w:szCs w:val="24"/>
          <w:lang w:eastAsia="zh-CN" w:bidi="hi-IN"/>
        </w:rPr>
      </w:pPr>
    </w:p>
    <w:p w14:paraId="09AFC94D" w14:textId="77777777" w:rsidR="00616630" w:rsidRPr="00616630" w:rsidRDefault="00616630" w:rsidP="00F5372B">
      <w:pPr>
        <w:spacing w:after="120"/>
        <w:rPr>
          <w:rFonts w:ascii="Calibri" w:eastAsia="NSimSun" w:hAnsi="Calibri" w:cs="Calibri"/>
          <w:b/>
          <w:iCs/>
          <w:kern w:val="3"/>
          <w:sz w:val="24"/>
          <w:szCs w:val="24"/>
          <w:lang w:eastAsia="zh-CN" w:bidi="hi-IN"/>
        </w:rPr>
      </w:pPr>
    </w:p>
    <w:p w14:paraId="61BE165F" w14:textId="4C8AEFE3" w:rsidR="00A205B4" w:rsidRPr="009727A7" w:rsidRDefault="008313CB" w:rsidP="009727A7">
      <w:pPr>
        <w:spacing w:after="120"/>
        <w:rPr>
          <w:rFonts w:ascii="Calibri" w:eastAsia="NSimSun" w:hAnsi="Calibri" w:cs="Calibri"/>
          <w:b/>
          <w:iCs/>
          <w:kern w:val="3"/>
          <w:sz w:val="44"/>
          <w:szCs w:val="44"/>
          <w:lang w:eastAsia="zh-CN" w:bidi="hi-IN"/>
        </w:rPr>
      </w:pPr>
      <w:r w:rsidRPr="00D17334">
        <w:rPr>
          <w:rFonts w:ascii="Calibri" w:eastAsia="NSimSun" w:hAnsi="Calibri" w:cs="Calibri"/>
          <w:b/>
          <w:iCs/>
          <w:kern w:val="3"/>
          <w:sz w:val="44"/>
          <w:szCs w:val="44"/>
          <w:lang w:eastAsia="zh-CN" w:bidi="hi-IN"/>
        </w:rPr>
        <w:t>ZAŁĄCZNIK NR</w:t>
      </w:r>
      <w:r w:rsidR="009727A7">
        <w:rPr>
          <w:rFonts w:ascii="Calibri" w:eastAsia="NSimSun" w:hAnsi="Calibri" w:cs="Calibri"/>
          <w:b/>
          <w:iCs/>
          <w:kern w:val="3"/>
          <w:sz w:val="44"/>
          <w:szCs w:val="44"/>
          <w:lang w:eastAsia="zh-CN" w:bidi="hi-IN"/>
        </w:rPr>
        <w:t xml:space="preserve"> </w:t>
      </w:r>
      <w:r w:rsidR="00BE4B87">
        <w:rPr>
          <w:rFonts w:ascii="Calibri" w:eastAsia="NSimSun" w:hAnsi="Calibri" w:cs="Calibri"/>
          <w:b/>
          <w:iCs/>
          <w:kern w:val="3"/>
          <w:sz w:val="44"/>
          <w:szCs w:val="44"/>
          <w:lang w:eastAsia="zh-CN" w:bidi="hi-IN"/>
        </w:rPr>
        <w:t>7</w:t>
      </w:r>
    </w:p>
    <w:p w14:paraId="546D27D5" w14:textId="2EAF56D5" w:rsidR="00A205B4" w:rsidRPr="009727A7" w:rsidRDefault="009727A7" w:rsidP="006E221B">
      <w:pPr>
        <w:spacing w:after="0"/>
        <w:rPr>
          <w:rFonts w:cstheme="minorHAnsi"/>
          <w:b/>
          <w:iCs/>
          <w:caps/>
          <w:sz w:val="44"/>
          <w:szCs w:val="44"/>
        </w:rPr>
      </w:pPr>
      <w:r w:rsidRPr="009727A7">
        <w:rPr>
          <w:rFonts w:cstheme="minorHAnsi"/>
          <w:b/>
          <w:iCs/>
          <w:caps/>
          <w:sz w:val="44"/>
          <w:szCs w:val="44"/>
        </w:rPr>
        <w:t>Lista wskaźników na poziomie projektu dla działania 7.1 Usługi zdrowotne i społeczne oraz opieka długoterminowa w ramach programu regionalnego FEO 2021-2027</w:t>
      </w:r>
    </w:p>
    <w:p w14:paraId="6AD90536" w14:textId="77777777" w:rsidR="00A205B4" w:rsidRPr="00D17334" w:rsidRDefault="00A205B4" w:rsidP="006E221B">
      <w:pPr>
        <w:spacing w:after="0"/>
        <w:rPr>
          <w:rFonts w:cstheme="minorHAnsi"/>
          <w:b/>
          <w:iCs/>
        </w:rPr>
      </w:pPr>
    </w:p>
    <w:p w14:paraId="20B582F1" w14:textId="77777777" w:rsidR="00A205B4" w:rsidRPr="00D17334" w:rsidRDefault="00A205B4" w:rsidP="006E221B">
      <w:pPr>
        <w:spacing w:after="0"/>
        <w:rPr>
          <w:rFonts w:cstheme="minorHAnsi"/>
          <w:b/>
          <w:iCs/>
        </w:rPr>
      </w:pPr>
    </w:p>
    <w:p w14:paraId="6E6D1AD5" w14:textId="77777777" w:rsidR="00A205B4" w:rsidRPr="00D17334" w:rsidRDefault="00A205B4" w:rsidP="006E221B">
      <w:pPr>
        <w:spacing w:after="0"/>
        <w:rPr>
          <w:rFonts w:cstheme="minorHAnsi"/>
          <w:b/>
          <w:iCs/>
        </w:rPr>
      </w:pPr>
    </w:p>
    <w:p w14:paraId="6AAB61ED" w14:textId="77777777" w:rsidR="00A205B4" w:rsidRPr="00D17334" w:rsidRDefault="00A205B4" w:rsidP="006E221B">
      <w:pPr>
        <w:spacing w:after="0"/>
        <w:rPr>
          <w:rFonts w:cstheme="minorHAnsi"/>
          <w:b/>
          <w:iCs/>
        </w:rPr>
      </w:pPr>
    </w:p>
    <w:p w14:paraId="4BD8A760" w14:textId="77777777" w:rsidR="00A205B4" w:rsidRPr="00D17334" w:rsidRDefault="00A205B4" w:rsidP="006E221B">
      <w:pPr>
        <w:spacing w:after="0"/>
        <w:rPr>
          <w:rFonts w:cstheme="minorHAnsi"/>
          <w:b/>
          <w:iCs/>
        </w:rPr>
      </w:pPr>
    </w:p>
    <w:p w14:paraId="22A9C7DA" w14:textId="77777777" w:rsidR="00A205B4" w:rsidRPr="00D17334" w:rsidRDefault="00A205B4" w:rsidP="006E221B">
      <w:pPr>
        <w:spacing w:after="0"/>
        <w:rPr>
          <w:rFonts w:cstheme="minorHAnsi"/>
          <w:b/>
          <w:iCs/>
        </w:rPr>
      </w:pPr>
    </w:p>
    <w:p w14:paraId="5FB712DB" w14:textId="77777777" w:rsidR="00A205B4" w:rsidRPr="00D17334" w:rsidRDefault="00A205B4" w:rsidP="006E221B">
      <w:pPr>
        <w:spacing w:after="0"/>
        <w:rPr>
          <w:rFonts w:cstheme="minorHAnsi"/>
          <w:b/>
          <w:iCs/>
        </w:rPr>
      </w:pPr>
    </w:p>
    <w:p w14:paraId="0D5B3E2B" w14:textId="77777777" w:rsidR="00A205B4" w:rsidRPr="00D17334" w:rsidRDefault="00A205B4" w:rsidP="006E221B">
      <w:pPr>
        <w:spacing w:after="0"/>
        <w:rPr>
          <w:rFonts w:cstheme="minorHAnsi"/>
          <w:b/>
          <w:iCs/>
        </w:rPr>
      </w:pPr>
    </w:p>
    <w:p w14:paraId="32BF58B3" w14:textId="77777777" w:rsidR="00616630" w:rsidRDefault="00616630" w:rsidP="006E221B">
      <w:pPr>
        <w:spacing w:after="0"/>
        <w:rPr>
          <w:rFonts w:cstheme="minorHAnsi"/>
          <w:bCs/>
          <w:iCs/>
          <w:sz w:val="24"/>
          <w:szCs w:val="24"/>
        </w:rPr>
      </w:pPr>
    </w:p>
    <w:p w14:paraId="006CAC99" w14:textId="0D4F3560" w:rsidR="00A205B4" w:rsidRPr="00616630" w:rsidRDefault="00616630" w:rsidP="006E221B">
      <w:pPr>
        <w:spacing w:after="0"/>
        <w:rPr>
          <w:rFonts w:cstheme="minorHAnsi"/>
          <w:bCs/>
          <w:iCs/>
          <w:sz w:val="24"/>
          <w:szCs w:val="24"/>
        </w:rPr>
      </w:pPr>
      <w:r w:rsidRPr="00616630">
        <w:rPr>
          <w:rFonts w:cstheme="minorHAnsi"/>
          <w:bCs/>
          <w:iCs/>
          <w:sz w:val="24"/>
          <w:szCs w:val="24"/>
        </w:rPr>
        <w:t>Opole, październik 2023 r.</w:t>
      </w:r>
    </w:p>
    <w:p w14:paraId="64262D2A" w14:textId="77777777" w:rsidR="00A205B4" w:rsidRPr="00616630" w:rsidRDefault="00A205B4" w:rsidP="006E221B">
      <w:pPr>
        <w:spacing w:after="0"/>
        <w:rPr>
          <w:rFonts w:cstheme="minorHAnsi"/>
          <w:bCs/>
          <w:iCs/>
          <w:sz w:val="24"/>
          <w:szCs w:val="24"/>
        </w:rPr>
      </w:pPr>
    </w:p>
    <w:p w14:paraId="279F9E52" w14:textId="77777777" w:rsidR="00A205B4" w:rsidRPr="00D17334" w:rsidRDefault="00A205B4" w:rsidP="006E221B">
      <w:pPr>
        <w:spacing w:after="0"/>
        <w:rPr>
          <w:rFonts w:cstheme="minorHAnsi"/>
          <w:b/>
          <w:iCs/>
        </w:rPr>
      </w:pPr>
    </w:p>
    <w:p w14:paraId="31896A9C" w14:textId="77777777" w:rsidR="00A205B4" w:rsidRPr="00D17334" w:rsidRDefault="00A205B4" w:rsidP="006E221B">
      <w:pPr>
        <w:spacing w:after="0"/>
        <w:rPr>
          <w:rFonts w:cstheme="minorHAnsi"/>
          <w:b/>
          <w:iCs/>
        </w:rPr>
      </w:pPr>
    </w:p>
    <w:p w14:paraId="7FCBACB3" w14:textId="77777777" w:rsidR="00A205B4" w:rsidRPr="00D17334" w:rsidRDefault="00A205B4" w:rsidP="006E221B">
      <w:pPr>
        <w:spacing w:after="0"/>
        <w:rPr>
          <w:rFonts w:cstheme="minorHAnsi"/>
          <w:b/>
          <w:iCs/>
        </w:rPr>
      </w:pPr>
    </w:p>
    <w:p w14:paraId="43AD3A8D" w14:textId="77777777" w:rsidR="00A205B4" w:rsidRPr="00D17334" w:rsidRDefault="00A205B4" w:rsidP="006E221B">
      <w:pPr>
        <w:spacing w:after="0"/>
        <w:rPr>
          <w:rFonts w:cstheme="minorHAnsi"/>
          <w:b/>
          <w:iCs/>
        </w:rPr>
      </w:pPr>
    </w:p>
    <w:p w14:paraId="67ABFFDF" w14:textId="77777777" w:rsidR="00A205B4" w:rsidRPr="00D17334" w:rsidRDefault="00A205B4" w:rsidP="006E221B">
      <w:pPr>
        <w:spacing w:after="0"/>
        <w:rPr>
          <w:rFonts w:cstheme="minorHAnsi"/>
          <w:b/>
          <w:iCs/>
        </w:rPr>
      </w:pPr>
    </w:p>
    <w:p w14:paraId="4C84073F" w14:textId="77777777" w:rsidR="00A205B4" w:rsidRPr="00D17334" w:rsidRDefault="00A205B4" w:rsidP="006E221B">
      <w:pPr>
        <w:spacing w:after="0"/>
        <w:rPr>
          <w:rFonts w:cstheme="minorHAnsi"/>
          <w:b/>
          <w:iCs/>
        </w:rPr>
      </w:pPr>
    </w:p>
    <w:p w14:paraId="0016D1AF" w14:textId="77777777" w:rsidR="00A205B4" w:rsidRPr="00D17334" w:rsidRDefault="00A205B4" w:rsidP="006E221B">
      <w:pPr>
        <w:spacing w:after="0"/>
        <w:rPr>
          <w:rFonts w:cstheme="minorHAnsi"/>
          <w:b/>
          <w:iCs/>
        </w:rPr>
      </w:pPr>
    </w:p>
    <w:p w14:paraId="0676D93B" w14:textId="77777777" w:rsidR="00A205B4" w:rsidRPr="00D17334" w:rsidRDefault="00A205B4" w:rsidP="006E221B">
      <w:pPr>
        <w:spacing w:after="0"/>
        <w:rPr>
          <w:rFonts w:cstheme="minorHAnsi"/>
          <w:b/>
          <w:iCs/>
        </w:rPr>
      </w:pPr>
    </w:p>
    <w:p w14:paraId="187857D2" w14:textId="77777777" w:rsidR="00A205B4" w:rsidRPr="00D17334" w:rsidRDefault="00A205B4" w:rsidP="006E221B">
      <w:pPr>
        <w:spacing w:after="0"/>
        <w:rPr>
          <w:rFonts w:cstheme="minorHAnsi"/>
          <w:b/>
          <w:iCs/>
        </w:rPr>
      </w:pPr>
    </w:p>
    <w:p w14:paraId="5BCDDAF0" w14:textId="77777777" w:rsidR="00A205B4" w:rsidRPr="00D17334" w:rsidRDefault="00A205B4" w:rsidP="006E221B">
      <w:pPr>
        <w:spacing w:after="0"/>
        <w:rPr>
          <w:rFonts w:cstheme="minorHAnsi"/>
          <w:b/>
          <w:iCs/>
        </w:rPr>
      </w:pPr>
    </w:p>
    <w:p w14:paraId="0355140F" w14:textId="77777777" w:rsidR="00A205B4" w:rsidRPr="00D17334" w:rsidRDefault="00A205B4" w:rsidP="006E221B">
      <w:pPr>
        <w:spacing w:after="0"/>
        <w:rPr>
          <w:rFonts w:cstheme="minorHAnsi"/>
          <w:b/>
          <w:iCs/>
        </w:rPr>
      </w:pPr>
    </w:p>
    <w:p w14:paraId="71EF2FCE" w14:textId="77777777" w:rsidR="00A205B4" w:rsidRPr="00D17334" w:rsidRDefault="00A205B4" w:rsidP="006E221B">
      <w:pPr>
        <w:spacing w:after="0"/>
        <w:rPr>
          <w:rFonts w:cstheme="minorHAnsi"/>
          <w:b/>
          <w:iCs/>
        </w:rPr>
      </w:pPr>
    </w:p>
    <w:p w14:paraId="0009E010" w14:textId="77777777" w:rsidR="00A205B4" w:rsidRPr="00D17334" w:rsidRDefault="00A205B4" w:rsidP="006E221B">
      <w:pPr>
        <w:spacing w:after="0"/>
        <w:rPr>
          <w:rFonts w:cstheme="minorHAnsi"/>
          <w:b/>
          <w:iCs/>
        </w:rPr>
      </w:pPr>
    </w:p>
    <w:p w14:paraId="15E57159" w14:textId="77777777" w:rsidR="00A205B4" w:rsidRPr="00D17334" w:rsidRDefault="00A205B4" w:rsidP="006E221B">
      <w:pPr>
        <w:spacing w:after="0"/>
        <w:rPr>
          <w:rFonts w:cstheme="minorHAnsi"/>
          <w:b/>
          <w:iCs/>
        </w:rPr>
      </w:pPr>
    </w:p>
    <w:p w14:paraId="1E3A2B44" w14:textId="77777777" w:rsidR="00A205B4" w:rsidRPr="00D17334" w:rsidRDefault="00A205B4" w:rsidP="006E221B">
      <w:pPr>
        <w:spacing w:after="0"/>
        <w:rPr>
          <w:rFonts w:cstheme="minorHAnsi"/>
          <w:b/>
          <w:iCs/>
        </w:rPr>
      </w:pPr>
    </w:p>
    <w:p w14:paraId="389A9F39" w14:textId="77777777" w:rsidR="00A205B4" w:rsidRPr="00D17334" w:rsidRDefault="00A205B4" w:rsidP="006E221B">
      <w:pPr>
        <w:spacing w:after="0"/>
        <w:rPr>
          <w:rFonts w:cstheme="minorHAnsi"/>
          <w:b/>
          <w:iCs/>
        </w:rPr>
      </w:pPr>
    </w:p>
    <w:p w14:paraId="7D6B8A79" w14:textId="77777777" w:rsidR="00A205B4" w:rsidRPr="00D17334" w:rsidRDefault="00A205B4" w:rsidP="006E221B">
      <w:pPr>
        <w:spacing w:after="0"/>
        <w:rPr>
          <w:rFonts w:cstheme="minorHAnsi"/>
          <w:b/>
          <w:iCs/>
        </w:rPr>
      </w:pPr>
    </w:p>
    <w:p w14:paraId="21AC47E8" w14:textId="77777777" w:rsidR="00A205B4" w:rsidRPr="00D17334" w:rsidRDefault="00A205B4" w:rsidP="006E221B">
      <w:pPr>
        <w:spacing w:after="0"/>
        <w:rPr>
          <w:rFonts w:cstheme="minorHAnsi"/>
          <w:b/>
          <w:iCs/>
        </w:rPr>
      </w:pPr>
    </w:p>
    <w:p w14:paraId="694F642C" w14:textId="77777777" w:rsidR="00A205B4" w:rsidRPr="00D17334" w:rsidRDefault="00A205B4" w:rsidP="006E221B">
      <w:pPr>
        <w:spacing w:after="0"/>
        <w:rPr>
          <w:rFonts w:cstheme="minorHAnsi"/>
          <w:b/>
          <w:iCs/>
        </w:rPr>
      </w:pPr>
    </w:p>
    <w:p w14:paraId="75EDC860" w14:textId="77777777" w:rsidR="00D37016" w:rsidRDefault="00D37016" w:rsidP="006E221B">
      <w:pPr>
        <w:spacing w:after="0"/>
        <w:rPr>
          <w:rFonts w:cstheme="minorHAnsi"/>
          <w:b/>
          <w:iCs/>
        </w:rPr>
      </w:pPr>
    </w:p>
    <w:p w14:paraId="30C79E18" w14:textId="77777777" w:rsidR="00C6017A" w:rsidRPr="00D17334" w:rsidRDefault="00C6017A" w:rsidP="006E221B">
      <w:pPr>
        <w:spacing w:after="0"/>
        <w:rPr>
          <w:rFonts w:cstheme="minorHAnsi"/>
          <w:b/>
          <w:iCs/>
        </w:rPr>
      </w:pPr>
    </w:p>
    <w:p w14:paraId="455660E9" w14:textId="77777777" w:rsidR="00A205B4" w:rsidRPr="00D17334" w:rsidRDefault="00A205B4" w:rsidP="006E221B">
      <w:pPr>
        <w:spacing w:after="0"/>
        <w:rPr>
          <w:rFonts w:cstheme="minorHAnsi"/>
          <w:b/>
          <w:iCs/>
        </w:rPr>
      </w:pPr>
    </w:p>
    <w:p w14:paraId="1DD0AF0D" w14:textId="77777777" w:rsidR="00A205B4" w:rsidRPr="00D17334" w:rsidRDefault="00A205B4" w:rsidP="006E221B">
      <w:pPr>
        <w:spacing w:after="0"/>
        <w:rPr>
          <w:rFonts w:cstheme="minorHAnsi"/>
          <w:b/>
          <w:iCs/>
        </w:rPr>
      </w:pPr>
    </w:p>
    <w:p w14:paraId="6C583475" w14:textId="77777777" w:rsidR="00A205B4" w:rsidRPr="0042768F" w:rsidRDefault="00A205B4" w:rsidP="00A205B4">
      <w:pPr>
        <w:spacing w:after="0"/>
        <w:rPr>
          <w:rFonts w:eastAsiaTheme="minorEastAsia" w:cstheme="minorHAnsi"/>
          <w:iCs/>
          <w:u w:val="single"/>
          <w:lang w:eastAsia="pl-PL"/>
        </w:rPr>
      </w:pPr>
      <w:r w:rsidRPr="0042768F">
        <w:rPr>
          <w:rFonts w:eastAsiaTheme="minorEastAsia" w:cstheme="minorHAnsi"/>
          <w:iCs/>
          <w:u w:val="single"/>
          <w:lang w:eastAsia="pl-PL"/>
        </w:rPr>
        <w:t>Opracowanie:</w:t>
      </w:r>
    </w:p>
    <w:p w14:paraId="0EE152EF" w14:textId="43DB5766" w:rsidR="00A205B4" w:rsidRPr="0042768F" w:rsidRDefault="00A205B4" w:rsidP="00A205B4">
      <w:pPr>
        <w:spacing w:after="0"/>
        <w:rPr>
          <w:rFonts w:eastAsiaTheme="minorEastAsia" w:cstheme="minorHAnsi"/>
          <w:iCs/>
          <w:lang w:eastAsia="pl-PL"/>
        </w:rPr>
      </w:pPr>
      <w:r w:rsidRPr="0042768F">
        <w:rPr>
          <w:rFonts w:eastAsiaTheme="minorEastAsia" w:cstheme="minorHAnsi"/>
          <w:iCs/>
          <w:lang w:eastAsia="pl-PL"/>
        </w:rPr>
        <w:t xml:space="preserve">Departament </w:t>
      </w:r>
      <w:r w:rsidR="00D37016" w:rsidRPr="0042768F">
        <w:rPr>
          <w:rFonts w:eastAsiaTheme="minorEastAsia" w:cstheme="minorHAnsi"/>
          <w:iCs/>
          <w:lang w:eastAsia="pl-PL"/>
        </w:rPr>
        <w:t>Programowania Funduszy Europejskich</w:t>
      </w:r>
    </w:p>
    <w:p w14:paraId="753759FC" w14:textId="77777777" w:rsidR="00A205B4" w:rsidRPr="0042768F" w:rsidRDefault="00A205B4" w:rsidP="00A205B4">
      <w:pPr>
        <w:spacing w:after="0"/>
        <w:rPr>
          <w:rFonts w:eastAsiaTheme="minorEastAsia" w:cstheme="minorHAnsi"/>
          <w:iCs/>
          <w:lang w:eastAsia="pl-PL"/>
        </w:rPr>
      </w:pPr>
      <w:r w:rsidRPr="0042768F">
        <w:rPr>
          <w:rFonts w:eastAsiaTheme="minorEastAsia" w:cstheme="minorHAnsi"/>
          <w:iCs/>
          <w:lang w:eastAsia="pl-PL"/>
        </w:rPr>
        <w:t>Urząd Marszałkowski Województwa Opolskiego</w:t>
      </w:r>
    </w:p>
    <w:p w14:paraId="7DEF1AF5" w14:textId="745833E6" w:rsidR="00A205B4" w:rsidRPr="0042768F" w:rsidRDefault="008D7A9E" w:rsidP="006E221B">
      <w:pPr>
        <w:spacing w:after="0"/>
        <w:rPr>
          <w:rFonts w:eastAsiaTheme="minorEastAsia" w:cstheme="minorHAnsi"/>
          <w:iCs/>
          <w:lang w:eastAsia="pl-PL"/>
        </w:rPr>
      </w:pPr>
      <w:r w:rsidRPr="0042768F">
        <w:rPr>
          <w:rFonts w:eastAsiaTheme="minorEastAsia" w:cstheme="minorHAnsi"/>
          <w:iCs/>
          <w:lang w:eastAsia="pl-PL"/>
        </w:rPr>
        <w:t xml:space="preserve">Opole, </w:t>
      </w:r>
      <w:r w:rsidR="00BE4B87">
        <w:rPr>
          <w:rFonts w:eastAsiaTheme="minorEastAsia" w:cstheme="minorHAnsi"/>
          <w:iCs/>
          <w:lang w:eastAsia="pl-PL"/>
        </w:rPr>
        <w:t>październik</w:t>
      </w:r>
      <w:r w:rsidR="009727A7" w:rsidRPr="0042768F">
        <w:rPr>
          <w:rFonts w:eastAsiaTheme="minorEastAsia" w:cstheme="minorHAnsi"/>
          <w:iCs/>
          <w:lang w:eastAsia="pl-PL"/>
        </w:rPr>
        <w:t xml:space="preserve"> </w:t>
      </w:r>
      <w:r w:rsidRPr="0042768F">
        <w:rPr>
          <w:rFonts w:eastAsiaTheme="minorEastAsia" w:cstheme="minorHAnsi"/>
          <w:iCs/>
          <w:lang w:eastAsia="pl-PL"/>
        </w:rPr>
        <w:t xml:space="preserve">2023 </w:t>
      </w:r>
      <w:r w:rsidR="00A205B4" w:rsidRPr="0042768F">
        <w:rPr>
          <w:rFonts w:eastAsiaTheme="minorEastAsia" w:cstheme="minorHAnsi"/>
          <w:iCs/>
          <w:lang w:eastAsia="pl-PL"/>
        </w:rPr>
        <w:t>r.</w:t>
      </w:r>
    </w:p>
    <w:p w14:paraId="258D5D03" w14:textId="77777777" w:rsidR="004521F4" w:rsidRDefault="004521F4" w:rsidP="006E221B">
      <w:pPr>
        <w:spacing w:after="0"/>
        <w:rPr>
          <w:rFonts w:ascii="Arial" w:eastAsiaTheme="minorEastAsia" w:hAnsi="Arial" w:cs="Arial"/>
          <w:iCs/>
          <w:sz w:val="18"/>
          <w:szCs w:val="18"/>
          <w:lang w:eastAsia="pl-PL"/>
        </w:rPr>
      </w:pPr>
    </w:p>
    <w:p w14:paraId="48B99371" w14:textId="77777777" w:rsidR="009727A7" w:rsidRDefault="009727A7" w:rsidP="00A205B4">
      <w:pPr>
        <w:spacing w:after="60"/>
        <w:rPr>
          <w:b/>
          <w:iCs/>
          <w:sz w:val="24"/>
        </w:rPr>
      </w:pPr>
    </w:p>
    <w:p w14:paraId="17AEED7C" w14:textId="2FF1FE52" w:rsidR="00B53E66" w:rsidRPr="00D17334" w:rsidRDefault="00A205B4" w:rsidP="00A205B4">
      <w:pPr>
        <w:spacing w:after="60"/>
        <w:rPr>
          <w:iCs/>
          <w:sz w:val="24"/>
        </w:rPr>
      </w:pPr>
      <w:r w:rsidRPr="00D17334">
        <w:rPr>
          <w:b/>
          <w:iCs/>
          <w:sz w:val="24"/>
        </w:rPr>
        <w:lastRenderedPageBreak/>
        <w:t xml:space="preserve">Tabela 1 </w:t>
      </w:r>
      <w:r w:rsidRPr="00D17334">
        <w:rPr>
          <w:iCs/>
          <w:sz w:val="24"/>
        </w:rPr>
        <w:t>Zestawienie wskaźników EF</w:t>
      </w:r>
      <w:r w:rsidR="004521F4" w:rsidRPr="00D17334">
        <w:rPr>
          <w:iCs/>
          <w:sz w:val="24"/>
        </w:rPr>
        <w:t>S</w:t>
      </w:r>
      <w:r w:rsidR="009727A7">
        <w:rPr>
          <w:iCs/>
          <w:sz w:val="24"/>
        </w:rPr>
        <w:t>+</w:t>
      </w:r>
      <w:r w:rsidRPr="00D17334">
        <w:rPr>
          <w:iCs/>
          <w:sz w:val="24"/>
        </w:rPr>
        <w:t xml:space="preserve"> na poziomie projektu w ramach FEO 2021-2027</w:t>
      </w:r>
    </w:p>
    <w:tbl>
      <w:tblPr>
        <w:tblStyle w:val="Tabela-Siatka5"/>
        <w:tblW w:w="15578"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ayout w:type="fixed"/>
        <w:tblLook w:val="04A0" w:firstRow="1" w:lastRow="0" w:firstColumn="1" w:lastColumn="0" w:noHBand="0" w:noVBand="1"/>
      </w:tblPr>
      <w:tblGrid>
        <w:gridCol w:w="836"/>
        <w:gridCol w:w="3260"/>
        <w:gridCol w:w="1276"/>
        <w:gridCol w:w="1413"/>
        <w:gridCol w:w="1422"/>
        <w:gridCol w:w="1834"/>
        <w:gridCol w:w="5537"/>
      </w:tblGrid>
      <w:tr w:rsidR="00F90D58" w:rsidRPr="00D17334" w14:paraId="58400F5E" w14:textId="77777777" w:rsidTr="004B7D83">
        <w:trPr>
          <w:trHeight w:val="829"/>
          <w:tblHeader/>
          <w:jc w:val="center"/>
        </w:trPr>
        <w:tc>
          <w:tcPr>
            <w:tcW w:w="836"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30AA6D01" w14:textId="77777777" w:rsidR="00F90D58" w:rsidRPr="00D17334" w:rsidRDefault="00F90D58" w:rsidP="00F90D58">
            <w:pPr>
              <w:tabs>
                <w:tab w:val="left" w:pos="3402"/>
                <w:tab w:val="left" w:pos="5103"/>
              </w:tabs>
              <w:spacing w:before="60" w:after="60"/>
              <w:ind w:right="-10"/>
              <w:jc w:val="center"/>
              <w:rPr>
                <w:rFonts w:cstheme="minorHAnsi"/>
                <w:b/>
                <w:iCs/>
                <w:color w:val="0070C0"/>
                <w:sz w:val="24"/>
                <w:szCs w:val="24"/>
              </w:rPr>
            </w:pPr>
            <w:r w:rsidRPr="00D17334">
              <w:rPr>
                <w:rFonts w:cstheme="minorHAnsi"/>
                <w:b/>
                <w:iCs/>
                <w:color w:val="0070C0"/>
                <w:sz w:val="24"/>
                <w:szCs w:val="24"/>
              </w:rPr>
              <w:t>L.p.</w:t>
            </w:r>
          </w:p>
        </w:tc>
        <w:tc>
          <w:tcPr>
            <w:tcW w:w="3260"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1524826D" w14:textId="77777777" w:rsidR="00F90D58" w:rsidRPr="00C05057" w:rsidRDefault="00F90D58" w:rsidP="00F90D58">
            <w:pPr>
              <w:tabs>
                <w:tab w:val="left" w:pos="3402"/>
                <w:tab w:val="left" w:pos="5103"/>
              </w:tabs>
              <w:spacing w:before="60" w:after="60"/>
              <w:jc w:val="center"/>
              <w:rPr>
                <w:rFonts w:cstheme="minorHAnsi"/>
                <w:b/>
                <w:iCs/>
                <w:color w:val="0070C0"/>
                <w:sz w:val="24"/>
                <w:szCs w:val="24"/>
              </w:rPr>
            </w:pPr>
            <w:r w:rsidRPr="00C05057">
              <w:rPr>
                <w:rFonts w:cstheme="minorHAnsi"/>
                <w:b/>
                <w:iCs/>
                <w:color w:val="0070C0"/>
                <w:sz w:val="24"/>
                <w:szCs w:val="24"/>
              </w:rPr>
              <w:t>Nazwa wskaźnika</w:t>
            </w:r>
          </w:p>
        </w:tc>
        <w:tc>
          <w:tcPr>
            <w:tcW w:w="1276"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34AC58E1" w14:textId="77777777" w:rsidR="00F90D58" w:rsidRPr="00D17334" w:rsidRDefault="00F90D58" w:rsidP="00F90D58">
            <w:pPr>
              <w:tabs>
                <w:tab w:val="left" w:pos="3402"/>
                <w:tab w:val="left" w:pos="5103"/>
              </w:tabs>
              <w:spacing w:before="60" w:after="60"/>
              <w:jc w:val="center"/>
              <w:rPr>
                <w:rFonts w:cstheme="minorHAnsi"/>
                <w:b/>
                <w:iCs/>
                <w:color w:val="0070C0"/>
                <w:sz w:val="24"/>
                <w:szCs w:val="24"/>
              </w:rPr>
            </w:pPr>
            <w:r w:rsidRPr="00D17334">
              <w:rPr>
                <w:rFonts w:cstheme="minorHAnsi"/>
                <w:b/>
                <w:iCs/>
                <w:color w:val="0070C0"/>
                <w:sz w:val="24"/>
                <w:szCs w:val="24"/>
              </w:rPr>
              <w:t>Jednostka miary</w:t>
            </w:r>
          </w:p>
        </w:tc>
        <w:tc>
          <w:tcPr>
            <w:tcW w:w="1413"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52DA7BF1" w14:textId="77777777" w:rsidR="00F90D58" w:rsidRPr="00D17334" w:rsidRDefault="00F90D58" w:rsidP="00F90D58">
            <w:pPr>
              <w:tabs>
                <w:tab w:val="left" w:pos="3402"/>
                <w:tab w:val="left" w:pos="5103"/>
              </w:tabs>
              <w:spacing w:before="60" w:after="60"/>
              <w:jc w:val="center"/>
              <w:rPr>
                <w:rFonts w:cstheme="minorHAnsi"/>
                <w:b/>
                <w:iCs/>
                <w:color w:val="0070C0"/>
                <w:sz w:val="24"/>
                <w:szCs w:val="24"/>
              </w:rPr>
            </w:pPr>
            <w:r w:rsidRPr="00D17334">
              <w:rPr>
                <w:rFonts w:cstheme="minorHAnsi"/>
                <w:b/>
                <w:iCs/>
                <w:color w:val="0070C0"/>
                <w:sz w:val="24"/>
                <w:szCs w:val="24"/>
              </w:rPr>
              <w:t>Rodzaj wskaźnika</w:t>
            </w:r>
          </w:p>
        </w:tc>
        <w:tc>
          <w:tcPr>
            <w:tcW w:w="1422"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22D19BFA" w14:textId="77777777" w:rsidR="00F90D58" w:rsidRPr="00D17334" w:rsidRDefault="00F90D58" w:rsidP="00F90D58">
            <w:pPr>
              <w:tabs>
                <w:tab w:val="left" w:pos="3402"/>
                <w:tab w:val="left" w:pos="5103"/>
              </w:tabs>
              <w:spacing w:before="60" w:after="60"/>
              <w:jc w:val="center"/>
              <w:rPr>
                <w:rFonts w:cstheme="minorHAnsi"/>
                <w:b/>
                <w:iCs/>
                <w:color w:val="0070C0"/>
                <w:sz w:val="24"/>
                <w:szCs w:val="24"/>
              </w:rPr>
            </w:pPr>
            <w:r w:rsidRPr="00D17334">
              <w:rPr>
                <w:rFonts w:cstheme="minorHAnsi"/>
                <w:b/>
                <w:iCs/>
                <w:color w:val="0070C0"/>
                <w:sz w:val="24"/>
                <w:szCs w:val="24"/>
              </w:rPr>
              <w:t>Typ wskaźnika</w:t>
            </w:r>
          </w:p>
        </w:tc>
        <w:tc>
          <w:tcPr>
            <w:tcW w:w="1834"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5E598DFA" w14:textId="77777777" w:rsidR="00F90D58" w:rsidRPr="00D17334" w:rsidRDefault="00F90D58" w:rsidP="00F90D58">
            <w:pPr>
              <w:tabs>
                <w:tab w:val="left" w:pos="3402"/>
                <w:tab w:val="left" w:pos="5103"/>
              </w:tabs>
              <w:spacing w:before="60" w:after="60"/>
              <w:jc w:val="center"/>
              <w:rPr>
                <w:rFonts w:cstheme="minorHAnsi"/>
                <w:b/>
                <w:iCs/>
                <w:color w:val="0070C0"/>
                <w:sz w:val="24"/>
                <w:szCs w:val="24"/>
              </w:rPr>
            </w:pPr>
            <w:r w:rsidRPr="00D17334">
              <w:rPr>
                <w:rFonts w:cstheme="minorHAnsi"/>
                <w:b/>
                <w:iCs/>
                <w:color w:val="0070C0"/>
                <w:sz w:val="24"/>
                <w:szCs w:val="24"/>
              </w:rPr>
              <w:t>Inne uwagi</w:t>
            </w:r>
          </w:p>
        </w:tc>
        <w:tc>
          <w:tcPr>
            <w:tcW w:w="5537" w:type="dxa"/>
            <w:tcBorders>
              <w:top w:val="single" w:sz="12" w:space="0" w:color="92D050"/>
              <w:left w:val="single" w:sz="12" w:space="0" w:color="92D050"/>
              <w:bottom w:val="single" w:sz="12" w:space="0" w:color="92D050"/>
              <w:right w:val="single" w:sz="12" w:space="0" w:color="92D050"/>
            </w:tcBorders>
            <w:shd w:val="clear" w:color="auto" w:fill="FAFBF7"/>
            <w:vAlign w:val="center"/>
          </w:tcPr>
          <w:p w14:paraId="2CA88697" w14:textId="77777777" w:rsidR="00F90D58" w:rsidRPr="00D17334" w:rsidRDefault="00F90D58" w:rsidP="00F90D58">
            <w:pPr>
              <w:tabs>
                <w:tab w:val="left" w:pos="3402"/>
                <w:tab w:val="left" w:pos="5103"/>
              </w:tabs>
              <w:spacing w:before="60" w:after="60"/>
              <w:jc w:val="center"/>
              <w:rPr>
                <w:rFonts w:cstheme="minorHAnsi"/>
                <w:b/>
                <w:iCs/>
                <w:color w:val="0070C0"/>
                <w:sz w:val="24"/>
                <w:szCs w:val="24"/>
              </w:rPr>
            </w:pPr>
            <w:r w:rsidRPr="00D17334">
              <w:rPr>
                <w:rFonts w:cstheme="minorHAnsi"/>
                <w:b/>
                <w:iCs/>
                <w:color w:val="0070C0"/>
                <w:sz w:val="24"/>
                <w:szCs w:val="24"/>
              </w:rPr>
              <w:t>Definicja</w:t>
            </w:r>
          </w:p>
        </w:tc>
      </w:tr>
      <w:tr w:rsidR="001A1EA0" w:rsidRPr="0042768F" w14:paraId="3C161B97" w14:textId="77777777" w:rsidTr="004B7D83">
        <w:trPr>
          <w:trHeight w:val="323"/>
          <w:jc w:val="center"/>
        </w:trPr>
        <w:tc>
          <w:tcPr>
            <w:tcW w:w="15578" w:type="dxa"/>
            <w:gridSpan w:val="7"/>
            <w:tcBorders>
              <w:top w:val="single" w:sz="12" w:space="0" w:color="92D050"/>
              <w:left w:val="single" w:sz="12" w:space="0" w:color="92D050"/>
              <w:bottom w:val="single" w:sz="12" w:space="0" w:color="92D050"/>
              <w:right w:val="single" w:sz="12" w:space="0" w:color="92D050"/>
            </w:tcBorders>
            <w:vAlign w:val="center"/>
          </w:tcPr>
          <w:p w14:paraId="2C9A720D" w14:textId="3E4D4C17" w:rsidR="001A1EA0" w:rsidRPr="0042768F" w:rsidRDefault="00414794" w:rsidP="001A1EA0">
            <w:pPr>
              <w:tabs>
                <w:tab w:val="left" w:pos="3402"/>
                <w:tab w:val="left" w:pos="5103"/>
              </w:tabs>
              <w:spacing w:before="60" w:after="60"/>
              <w:contextualSpacing/>
              <w:rPr>
                <w:rFonts w:eastAsia="Times New Roman" w:cstheme="minorHAnsi"/>
                <w:iCs/>
                <w:color w:val="0070C0"/>
                <w:sz w:val="32"/>
                <w:szCs w:val="32"/>
              </w:rPr>
            </w:pPr>
            <w:r w:rsidRPr="0042768F">
              <w:rPr>
                <w:rFonts w:cstheme="minorHAnsi"/>
                <w:b/>
                <w:iCs/>
                <w:color w:val="0070C0"/>
                <w:sz w:val="32"/>
                <w:szCs w:val="32"/>
              </w:rPr>
              <w:t xml:space="preserve">Wskaźniki </w:t>
            </w:r>
            <w:r w:rsidR="00DF36E8" w:rsidRPr="0042768F">
              <w:rPr>
                <w:rFonts w:cstheme="minorHAnsi"/>
                <w:b/>
                <w:iCs/>
                <w:color w:val="0070C0"/>
                <w:sz w:val="32"/>
                <w:szCs w:val="32"/>
              </w:rPr>
              <w:t xml:space="preserve">horyzontalne  - </w:t>
            </w:r>
            <w:r w:rsidRPr="0042768F">
              <w:rPr>
                <w:rFonts w:cstheme="minorHAnsi"/>
                <w:b/>
                <w:iCs/>
                <w:color w:val="0070C0"/>
                <w:sz w:val="32"/>
                <w:szCs w:val="32"/>
              </w:rPr>
              <w:t>mierzone we wszystkich celach szczegółowych</w:t>
            </w:r>
          </w:p>
        </w:tc>
      </w:tr>
      <w:tr w:rsidR="003C5F3D" w:rsidRPr="00D17334" w14:paraId="5E8B3A5F" w14:textId="77777777" w:rsidTr="004B7D83">
        <w:trPr>
          <w:jc w:val="center"/>
        </w:trPr>
        <w:tc>
          <w:tcPr>
            <w:tcW w:w="836" w:type="dxa"/>
            <w:tcBorders>
              <w:top w:val="single" w:sz="12" w:space="0" w:color="92D050"/>
              <w:left w:val="single" w:sz="12" w:space="0" w:color="92D050"/>
            </w:tcBorders>
            <w:vAlign w:val="center"/>
          </w:tcPr>
          <w:p w14:paraId="372D328B" w14:textId="77777777" w:rsidR="003C5F3D" w:rsidRPr="00D17334" w:rsidRDefault="003C5F3D" w:rsidP="003C5F3D">
            <w:pPr>
              <w:tabs>
                <w:tab w:val="left" w:pos="3402"/>
                <w:tab w:val="left" w:pos="5103"/>
              </w:tabs>
              <w:spacing w:before="60" w:after="60"/>
              <w:ind w:left="175"/>
              <w:contextualSpacing/>
              <w:rPr>
                <w:rFonts w:eastAsia="Times New Roman" w:cstheme="minorHAnsi"/>
                <w:iCs/>
                <w:color w:val="17365D" w:themeColor="text2" w:themeShade="BF"/>
                <w:sz w:val="24"/>
                <w:szCs w:val="24"/>
              </w:rPr>
            </w:pPr>
            <w:r w:rsidRPr="00D17334">
              <w:rPr>
                <w:rFonts w:eastAsia="Times New Roman" w:cstheme="minorHAnsi"/>
                <w:iCs/>
                <w:sz w:val="24"/>
                <w:szCs w:val="24"/>
              </w:rPr>
              <w:t>1.</w:t>
            </w:r>
          </w:p>
        </w:tc>
        <w:tc>
          <w:tcPr>
            <w:tcW w:w="3260" w:type="dxa"/>
            <w:tcBorders>
              <w:top w:val="single" w:sz="12" w:space="0" w:color="92D050"/>
            </w:tcBorders>
            <w:vAlign w:val="center"/>
          </w:tcPr>
          <w:p w14:paraId="5BF8CB4C" w14:textId="6F6861ED" w:rsidR="003C5F3D" w:rsidRPr="00313D3B" w:rsidRDefault="003C5F3D" w:rsidP="003C5F3D">
            <w:pPr>
              <w:tabs>
                <w:tab w:val="left" w:pos="3402"/>
                <w:tab w:val="left" w:pos="5103"/>
              </w:tabs>
              <w:spacing w:before="60" w:after="60"/>
              <w:ind w:right="-108"/>
              <w:rPr>
                <w:rFonts w:cstheme="minorHAnsi"/>
                <w:iCs/>
                <w:sz w:val="24"/>
                <w:szCs w:val="24"/>
              </w:rPr>
            </w:pPr>
            <w:r w:rsidRPr="00313D3B">
              <w:rPr>
                <w:rFonts w:cstheme="minorHAnsi"/>
                <w:iCs/>
                <w:sz w:val="24"/>
                <w:szCs w:val="24"/>
              </w:rPr>
              <w:t>Liczba projektów, w których sfinansowano koszty racjonalnych usprawnień dla osób z niepełnosprawnościami</w:t>
            </w:r>
          </w:p>
        </w:tc>
        <w:tc>
          <w:tcPr>
            <w:tcW w:w="1276" w:type="dxa"/>
            <w:tcBorders>
              <w:top w:val="single" w:sz="12" w:space="0" w:color="92D050"/>
            </w:tcBorders>
            <w:vAlign w:val="center"/>
          </w:tcPr>
          <w:p w14:paraId="729C036A" w14:textId="1CFBBF2B" w:rsidR="003C5F3D" w:rsidRPr="00D17334" w:rsidRDefault="003C5F3D" w:rsidP="003C5F3D">
            <w:pPr>
              <w:tabs>
                <w:tab w:val="left" w:pos="3402"/>
                <w:tab w:val="left" w:pos="5103"/>
              </w:tabs>
              <w:spacing w:before="60" w:after="60"/>
              <w:jc w:val="center"/>
              <w:rPr>
                <w:rFonts w:cstheme="minorHAnsi"/>
                <w:iCs/>
                <w:sz w:val="24"/>
                <w:szCs w:val="24"/>
              </w:rPr>
            </w:pPr>
            <w:r w:rsidRPr="00D17334">
              <w:rPr>
                <w:rFonts w:cstheme="minorHAnsi"/>
                <w:iCs/>
                <w:sz w:val="24"/>
                <w:szCs w:val="24"/>
              </w:rPr>
              <w:t>sztuki</w:t>
            </w:r>
          </w:p>
        </w:tc>
        <w:tc>
          <w:tcPr>
            <w:tcW w:w="1413" w:type="dxa"/>
            <w:tcBorders>
              <w:top w:val="single" w:sz="12" w:space="0" w:color="92D050"/>
            </w:tcBorders>
            <w:shd w:val="clear" w:color="auto" w:fill="auto"/>
            <w:vAlign w:val="center"/>
          </w:tcPr>
          <w:p w14:paraId="663BED6B" w14:textId="00E1A28E" w:rsidR="003C5F3D" w:rsidRPr="00D17334" w:rsidRDefault="003C5F3D" w:rsidP="003C5F3D">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top w:val="single" w:sz="12" w:space="0" w:color="92D050"/>
            </w:tcBorders>
            <w:shd w:val="clear" w:color="auto" w:fill="auto"/>
            <w:vAlign w:val="center"/>
          </w:tcPr>
          <w:p w14:paraId="24102213" w14:textId="6B25C21A" w:rsidR="003C5F3D" w:rsidRPr="00D17334" w:rsidRDefault="003C5F3D" w:rsidP="003C5F3D">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top w:val="single" w:sz="12" w:space="0" w:color="92D050"/>
            </w:tcBorders>
            <w:vAlign w:val="center"/>
          </w:tcPr>
          <w:p w14:paraId="19F80494" w14:textId="7C0D7C4A" w:rsidR="003C5F3D" w:rsidRPr="00D17334" w:rsidRDefault="003C5F3D" w:rsidP="003C5F3D">
            <w:pPr>
              <w:tabs>
                <w:tab w:val="left" w:pos="3402"/>
                <w:tab w:val="left" w:pos="5103"/>
              </w:tabs>
              <w:spacing w:before="60" w:after="60"/>
              <w:ind w:left="-8"/>
              <w:contextualSpacing/>
              <w:jc w:val="center"/>
              <w:rPr>
                <w:rFonts w:eastAsia="Times New Roman" w:cstheme="minorHAnsi"/>
                <w:iCs/>
                <w:sz w:val="24"/>
                <w:szCs w:val="24"/>
              </w:rPr>
            </w:pPr>
            <w:r w:rsidRPr="00D17334">
              <w:rPr>
                <w:rFonts w:eastAsia="Times New Roman" w:cstheme="minorHAnsi"/>
                <w:iCs/>
                <w:sz w:val="24"/>
                <w:szCs w:val="24"/>
              </w:rPr>
              <w:t>-</w:t>
            </w:r>
          </w:p>
        </w:tc>
        <w:tc>
          <w:tcPr>
            <w:tcW w:w="5537" w:type="dxa"/>
            <w:tcBorders>
              <w:top w:val="single" w:sz="12" w:space="0" w:color="92D050"/>
              <w:right w:val="single" w:sz="12" w:space="0" w:color="92D050"/>
            </w:tcBorders>
            <w:vAlign w:val="center"/>
          </w:tcPr>
          <w:p w14:paraId="291AB971" w14:textId="77777777"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t>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osobami.</w:t>
            </w:r>
          </w:p>
          <w:p w14:paraId="0148F61A" w14:textId="77777777"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t>Wskaźnik mierzony w momencie rozliczenia wydatku związanego z racjonalnymi usprawnieniami w ramach danego projektu.</w:t>
            </w:r>
          </w:p>
          <w:p w14:paraId="6715F2F3" w14:textId="77777777"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t>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w:t>
            </w:r>
          </w:p>
          <w:p w14:paraId="50163443" w14:textId="77777777"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t>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w:t>
            </w:r>
          </w:p>
          <w:p w14:paraId="7EDFC76D" w14:textId="77777777"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lastRenderedPageBreak/>
              <w:t>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w:t>
            </w:r>
          </w:p>
          <w:p w14:paraId="5E46D5F7" w14:textId="69F29FAC" w:rsidR="003C5F3D" w:rsidRPr="00D17334" w:rsidRDefault="003C5F3D" w:rsidP="003C5F3D">
            <w:pPr>
              <w:tabs>
                <w:tab w:val="left" w:pos="3402"/>
                <w:tab w:val="left" w:pos="5103"/>
              </w:tabs>
              <w:spacing w:before="60" w:after="60"/>
              <w:contextualSpacing/>
              <w:rPr>
                <w:rFonts w:eastAsia="Times New Roman" w:cstheme="minorHAnsi"/>
                <w:iCs/>
                <w:sz w:val="24"/>
                <w:szCs w:val="24"/>
              </w:rPr>
            </w:pPr>
            <w:r w:rsidRPr="00D17334">
              <w:rPr>
                <w:rFonts w:eastAsia="Times New Roman" w:cstheme="minorHAnsi"/>
                <w:iCs/>
                <w:sz w:val="24"/>
                <w:szCs w:val="24"/>
              </w:rPr>
              <w:t>Definicja na podstawie: Wytyczne w zakresie realizacji zasad równościowych w ramach funduszy unijnych na lata 2021-2027.</w:t>
            </w:r>
          </w:p>
        </w:tc>
      </w:tr>
      <w:tr w:rsidR="003C5F3D" w:rsidRPr="00D17334" w14:paraId="28688A6E" w14:textId="77777777" w:rsidTr="004B7D83">
        <w:trPr>
          <w:trHeight w:val="667"/>
          <w:jc w:val="center"/>
        </w:trPr>
        <w:tc>
          <w:tcPr>
            <w:tcW w:w="836" w:type="dxa"/>
            <w:tcBorders>
              <w:left w:val="single" w:sz="12" w:space="0" w:color="92D050"/>
              <w:bottom w:val="single" w:sz="12" w:space="0" w:color="92D050"/>
            </w:tcBorders>
            <w:vAlign w:val="center"/>
          </w:tcPr>
          <w:p w14:paraId="1E4B3FF5" w14:textId="77777777" w:rsidR="003C5F3D" w:rsidRPr="00D17334" w:rsidRDefault="003C5F3D" w:rsidP="003C5F3D">
            <w:pPr>
              <w:tabs>
                <w:tab w:val="left" w:pos="3402"/>
                <w:tab w:val="left" w:pos="5103"/>
              </w:tabs>
              <w:spacing w:before="60" w:after="60"/>
              <w:ind w:left="175"/>
              <w:contextualSpacing/>
              <w:rPr>
                <w:rFonts w:eastAsia="Times New Roman" w:cstheme="minorHAnsi"/>
                <w:iCs/>
                <w:color w:val="17365D" w:themeColor="text2" w:themeShade="BF"/>
                <w:sz w:val="24"/>
                <w:szCs w:val="24"/>
              </w:rPr>
            </w:pPr>
            <w:r w:rsidRPr="00D17334">
              <w:rPr>
                <w:rFonts w:eastAsia="Times New Roman" w:cstheme="minorHAnsi"/>
                <w:iCs/>
                <w:sz w:val="24"/>
                <w:szCs w:val="24"/>
              </w:rPr>
              <w:lastRenderedPageBreak/>
              <w:t>2.</w:t>
            </w:r>
          </w:p>
        </w:tc>
        <w:tc>
          <w:tcPr>
            <w:tcW w:w="3260" w:type="dxa"/>
            <w:tcBorders>
              <w:bottom w:val="single" w:sz="12" w:space="0" w:color="92D050"/>
            </w:tcBorders>
            <w:vAlign w:val="center"/>
          </w:tcPr>
          <w:p w14:paraId="47E14DA1" w14:textId="3A35A738" w:rsidR="003C5F3D" w:rsidRPr="00313D3B" w:rsidRDefault="003C5F3D" w:rsidP="003C5F3D">
            <w:pPr>
              <w:tabs>
                <w:tab w:val="left" w:pos="3402"/>
                <w:tab w:val="left" w:pos="5103"/>
              </w:tabs>
              <w:spacing w:before="60" w:after="60"/>
              <w:rPr>
                <w:rFonts w:cstheme="minorHAnsi"/>
                <w:iCs/>
                <w:sz w:val="24"/>
                <w:szCs w:val="24"/>
              </w:rPr>
            </w:pPr>
            <w:r w:rsidRPr="00313D3B">
              <w:rPr>
                <w:rFonts w:cstheme="minorHAnsi"/>
                <w:iCs/>
                <w:sz w:val="24"/>
                <w:szCs w:val="24"/>
              </w:rPr>
              <w:t>Liczba obiektów dostosowanych do potrzeb osób z niepełnosprawnościami</w:t>
            </w:r>
          </w:p>
        </w:tc>
        <w:tc>
          <w:tcPr>
            <w:tcW w:w="1276" w:type="dxa"/>
            <w:tcBorders>
              <w:bottom w:val="single" w:sz="12" w:space="0" w:color="92D050"/>
            </w:tcBorders>
            <w:vAlign w:val="center"/>
          </w:tcPr>
          <w:p w14:paraId="296BF919" w14:textId="7A0C1379" w:rsidR="003C5F3D" w:rsidRPr="00D17334" w:rsidRDefault="003C5F3D" w:rsidP="003C5F3D">
            <w:pPr>
              <w:tabs>
                <w:tab w:val="left" w:pos="3402"/>
                <w:tab w:val="left" w:pos="5103"/>
              </w:tabs>
              <w:spacing w:before="60" w:after="60"/>
              <w:jc w:val="center"/>
              <w:rPr>
                <w:rFonts w:cstheme="minorHAnsi"/>
                <w:iCs/>
                <w:sz w:val="24"/>
                <w:szCs w:val="24"/>
              </w:rPr>
            </w:pPr>
            <w:r w:rsidRPr="00D17334">
              <w:rPr>
                <w:rFonts w:cstheme="minorHAnsi"/>
                <w:iCs/>
                <w:sz w:val="24"/>
                <w:szCs w:val="24"/>
              </w:rPr>
              <w:t>sztuki</w:t>
            </w:r>
          </w:p>
        </w:tc>
        <w:tc>
          <w:tcPr>
            <w:tcW w:w="1413" w:type="dxa"/>
            <w:tcBorders>
              <w:bottom w:val="single" w:sz="12" w:space="0" w:color="92D050"/>
            </w:tcBorders>
            <w:shd w:val="clear" w:color="auto" w:fill="auto"/>
            <w:vAlign w:val="center"/>
          </w:tcPr>
          <w:p w14:paraId="2E40053B" w14:textId="3C53FD65" w:rsidR="003C5F3D" w:rsidRPr="00D17334" w:rsidRDefault="003C5F3D" w:rsidP="003C5F3D">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69157768" w14:textId="7D2CF004" w:rsidR="003C5F3D" w:rsidRPr="00D17334" w:rsidRDefault="003C5F3D" w:rsidP="003C5F3D">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7792BBDA" w14:textId="4000D1F9" w:rsidR="003C5F3D" w:rsidRPr="00D17334" w:rsidRDefault="003C5F3D" w:rsidP="003C5F3D">
            <w:pPr>
              <w:tabs>
                <w:tab w:val="left" w:pos="3402"/>
                <w:tab w:val="left" w:pos="5103"/>
              </w:tabs>
              <w:spacing w:before="60" w:after="60"/>
              <w:ind w:left="-8"/>
              <w:contextualSpacing/>
              <w:jc w:val="center"/>
              <w:rPr>
                <w:rFonts w:eastAsia="Times New Roman"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788AAE68" w14:textId="63CEE0FA" w:rsidR="003C5F3D" w:rsidRPr="00D17334" w:rsidRDefault="003C5F3D" w:rsidP="003C5F3D">
            <w:pPr>
              <w:spacing w:before="60" w:after="60"/>
              <w:rPr>
                <w:rFonts w:cstheme="minorHAnsi"/>
                <w:iCs/>
                <w:sz w:val="24"/>
                <w:szCs w:val="24"/>
              </w:rPr>
            </w:pPr>
            <w:r w:rsidRPr="00D17334">
              <w:rPr>
                <w:rFonts w:cstheme="minorHAnsi"/>
                <w:iCs/>
                <w:sz w:val="24"/>
                <w:szCs w:val="24"/>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w:t>
            </w:r>
          </w:p>
          <w:p w14:paraId="7B51D592" w14:textId="77777777" w:rsidR="003C5F3D" w:rsidRPr="00D17334" w:rsidRDefault="003C5F3D" w:rsidP="003C5F3D">
            <w:pPr>
              <w:spacing w:before="60" w:after="60"/>
              <w:rPr>
                <w:rFonts w:cstheme="minorHAnsi"/>
                <w:iCs/>
                <w:sz w:val="24"/>
                <w:szCs w:val="24"/>
              </w:rPr>
            </w:pPr>
            <w:r w:rsidRPr="00D17334">
              <w:rPr>
                <w:rFonts w:cstheme="minorHAnsi"/>
                <w:iCs/>
                <w:sz w:val="24"/>
                <w:szCs w:val="24"/>
              </w:rPr>
              <w:t>Jako obiekty należy rozumieć konstrukcje połączone z gruntem w sposób trwały, wykonane z materiałów budowlanych i elementów składowych, będące wynikiem prac budowlanych (wg. def. PKOB).</w:t>
            </w:r>
          </w:p>
          <w:p w14:paraId="0D7B43BE" w14:textId="77777777" w:rsidR="003C5F3D" w:rsidRPr="00D17334" w:rsidRDefault="003C5F3D" w:rsidP="003C5F3D">
            <w:pPr>
              <w:spacing w:before="60" w:after="60"/>
              <w:rPr>
                <w:rFonts w:cstheme="minorHAnsi"/>
                <w:iCs/>
                <w:sz w:val="24"/>
                <w:szCs w:val="24"/>
              </w:rPr>
            </w:pPr>
            <w:r w:rsidRPr="00D17334">
              <w:rPr>
                <w:rFonts w:cstheme="minorHAnsi"/>
                <w:iCs/>
                <w:sz w:val="24"/>
                <w:szCs w:val="24"/>
              </w:rPr>
              <w:t xml:space="preserve">Należy podać liczbę obiektów, a nie sprzętów, urządzeń itp., w które obiekty zaopatrzono. Jeśli instytucja, zakład itp. składa się z kilku obiektów, </w:t>
            </w:r>
            <w:r w:rsidRPr="00D17334">
              <w:rPr>
                <w:rFonts w:cstheme="minorHAnsi"/>
                <w:iCs/>
                <w:sz w:val="24"/>
                <w:szCs w:val="24"/>
              </w:rPr>
              <w:lastRenderedPageBreak/>
              <w:t xml:space="preserve">należy zliczyć wszystkie, które dostosowano do potrzeb osób z niepełnosprawnościami. </w:t>
            </w:r>
          </w:p>
          <w:p w14:paraId="41991287" w14:textId="4CE293AF" w:rsidR="003C5F3D" w:rsidRPr="00D17334" w:rsidRDefault="003C5F3D" w:rsidP="003C5F3D">
            <w:pPr>
              <w:tabs>
                <w:tab w:val="left" w:pos="3402"/>
                <w:tab w:val="left" w:pos="5103"/>
              </w:tabs>
              <w:spacing w:before="60" w:after="60"/>
              <w:ind w:left="-8"/>
              <w:contextualSpacing/>
              <w:rPr>
                <w:rFonts w:eastAsia="Times New Roman" w:cstheme="minorHAnsi"/>
                <w:iCs/>
                <w:sz w:val="24"/>
                <w:szCs w:val="24"/>
              </w:rPr>
            </w:pPr>
            <w:r w:rsidRPr="00D17334">
              <w:rPr>
                <w:rFonts w:cstheme="minorHAnsi"/>
                <w:iCs/>
                <w:sz w:val="24"/>
                <w:szCs w:val="24"/>
              </w:rPr>
              <w:t>Wskaźnik mierzony w momencie rozliczenia wydatku związanego z wyposażeniem obiektów w rozwiązania służące osobom z niepełnosprawnościami w ramach danego projektu.</w:t>
            </w:r>
          </w:p>
        </w:tc>
      </w:tr>
      <w:tr w:rsidR="007F7686" w:rsidRPr="00D17334" w14:paraId="2E03B169" w14:textId="77777777" w:rsidTr="00C934B8">
        <w:trPr>
          <w:trHeight w:val="667"/>
          <w:jc w:val="center"/>
        </w:trPr>
        <w:tc>
          <w:tcPr>
            <w:tcW w:w="836" w:type="dxa"/>
            <w:tcBorders>
              <w:left w:val="single" w:sz="12" w:space="0" w:color="92D050"/>
              <w:bottom w:val="single" w:sz="12" w:space="0" w:color="92D050"/>
            </w:tcBorders>
            <w:vAlign w:val="center"/>
          </w:tcPr>
          <w:p w14:paraId="45A6F988" w14:textId="4C77B714" w:rsidR="007F7686" w:rsidRPr="00D17334" w:rsidRDefault="007F7686" w:rsidP="007F7686">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3.</w:t>
            </w:r>
          </w:p>
        </w:tc>
        <w:tc>
          <w:tcPr>
            <w:tcW w:w="3260" w:type="dxa"/>
            <w:tcBorders>
              <w:top w:val="single" w:sz="4" w:space="0" w:color="92D050"/>
            </w:tcBorders>
            <w:vAlign w:val="center"/>
          </w:tcPr>
          <w:p w14:paraId="31BFB1AC" w14:textId="279CFC3D" w:rsidR="007F7686" w:rsidRPr="00313D3B" w:rsidRDefault="007F7686" w:rsidP="007F7686">
            <w:pPr>
              <w:tabs>
                <w:tab w:val="left" w:pos="3402"/>
                <w:tab w:val="left" w:pos="5103"/>
              </w:tabs>
              <w:spacing w:before="60" w:after="60"/>
              <w:rPr>
                <w:rFonts w:cstheme="minorHAnsi"/>
                <w:iCs/>
                <w:sz w:val="24"/>
                <w:szCs w:val="24"/>
              </w:rPr>
            </w:pPr>
            <w:r w:rsidRPr="00313D3B">
              <w:rPr>
                <w:rFonts w:cstheme="minorHAnsi"/>
                <w:iCs/>
                <w:sz w:val="24"/>
                <w:szCs w:val="24"/>
              </w:rPr>
              <w:t>Liczba osób z niepełnosprawnościami objętych wsparciem w programie</w:t>
            </w:r>
          </w:p>
        </w:tc>
        <w:tc>
          <w:tcPr>
            <w:tcW w:w="1276" w:type="dxa"/>
            <w:tcBorders>
              <w:top w:val="single" w:sz="4" w:space="0" w:color="92D050"/>
            </w:tcBorders>
            <w:shd w:val="clear" w:color="auto" w:fill="auto"/>
            <w:vAlign w:val="center"/>
          </w:tcPr>
          <w:p w14:paraId="220FD01B" w14:textId="4C857AB7" w:rsidR="007F7686" w:rsidRPr="00D17334" w:rsidRDefault="007F7686" w:rsidP="007F7686">
            <w:pPr>
              <w:tabs>
                <w:tab w:val="left" w:pos="3402"/>
                <w:tab w:val="left" w:pos="5103"/>
              </w:tabs>
              <w:spacing w:before="60" w:after="60"/>
              <w:jc w:val="center"/>
              <w:rPr>
                <w:rFonts w:cstheme="minorHAnsi"/>
                <w:iCs/>
                <w:sz w:val="24"/>
                <w:szCs w:val="24"/>
              </w:rPr>
            </w:pPr>
            <w:r w:rsidRPr="00D17334">
              <w:rPr>
                <w:rFonts w:eastAsia="Times New Roman" w:cstheme="minorHAnsi"/>
                <w:iCs/>
                <w:sz w:val="24"/>
                <w:szCs w:val="24"/>
                <w:lang w:eastAsia="pl-PL"/>
              </w:rPr>
              <w:t>osoby</w:t>
            </w:r>
          </w:p>
        </w:tc>
        <w:tc>
          <w:tcPr>
            <w:tcW w:w="1413" w:type="dxa"/>
            <w:tcBorders>
              <w:top w:val="single" w:sz="4" w:space="0" w:color="92D050"/>
            </w:tcBorders>
            <w:shd w:val="clear" w:color="auto" w:fill="auto"/>
            <w:vAlign w:val="center"/>
          </w:tcPr>
          <w:p w14:paraId="53AF4D43" w14:textId="37C18E0E" w:rsidR="007F7686" w:rsidRPr="00D17334" w:rsidRDefault="007F7686" w:rsidP="007F7686">
            <w:pPr>
              <w:tabs>
                <w:tab w:val="left" w:pos="3402"/>
                <w:tab w:val="left" w:pos="5103"/>
              </w:tabs>
              <w:spacing w:before="60" w:after="60"/>
              <w:ind w:left="-183" w:right="-193"/>
              <w:jc w:val="center"/>
              <w:rPr>
                <w:rFonts w:cstheme="minorHAnsi"/>
                <w:iCs/>
                <w:sz w:val="24"/>
                <w:szCs w:val="24"/>
              </w:rPr>
            </w:pPr>
            <w:r w:rsidRPr="00D17334">
              <w:rPr>
                <w:rFonts w:eastAsia="Calibri" w:cstheme="minorHAnsi"/>
                <w:iCs/>
                <w:sz w:val="24"/>
                <w:szCs w:val="24"/>
              </w:rPr>
              <w:t>produkt</w:t>
            </w:r>
          </w:p>
        </w:tc>
        <w:tc>
          <w:tcPr>
            <w:tcW w:w="1422" w:type="dxa"/>
            <w:tcBorders>
              <w:top w:val="single" w:sz="4" w:space="0" w:color="92D050"/>
            </w:tcBorders>
            <w:shd w:val="clear" w:color="auto" w:fill="auto"/>
            <w:vAlign w:val="center"/>
          </w:tcPr>
          <w:p w14:paraId="0733D8B0" w14:textId="1773852E" w:rsidR="007F7686" w:rsidRPr="00D17334" w:rsidRDefault="007F7686" w:rsidP="007F7686">
            <w:pPr>
              <w:spacing w:before="60" w:after="60"/>
              <w:ind w:right="-93"/>
              <w:jc w:val="center"/>
              <w:rPr>
                <w:rFonts w:cstheme="minorHAnsi"/>
                <w:iCs/>
                <w:sz w:val="24"/>
                <w:szCs w:val="24"/>
              </w:rPr>
            </w:pPr>
            <w:r w:rsidRPr="00D17334">
              <w:rPr>
                <w:rFonts w:eastAsia="Calibri" w:cstheme="minorHAnsi"/>
                <w:iCs/>
                <w:sz w:val="24"/>
                <w:szCs w:val="24"/>
              </w:rPr>
              <w:t>kluczowy</w:t>
            </w:r>
          </w:p>
        </w:tc>
        <w:tc>
          <w:tcPr>
            <w:tcW w:w="1834" w:type="dxa"/>
            <w:tcBorders>
              <w:top w:val="single" w:sz="4" w:space="0" w:color="92D050"/>
            </w:tcBorders>
            <w:vAlign w:val="center"/>
          </w:tcPr>
          <w:p w14:paraId="6B0C8724" w14:textId="45C9043C" w:rsidR="007F7686" w:rsidRPr="00D17334" w:rsidRDefault="007F7686" w:rsidP="007F7686">
            <w:pPr>
              <w:tabs>
                <w:tab w:val="left" w:pos="3402"/>
                <w:tab w:val="left" w:pos="5103"/>
              </w:tabs>
              <w:spacing w:before="60" w:after="60"/>
              <w:ind w:left="-8"/>
              <w:contextualSpacing/>
              <w:jc w:val="center"/>
              <w:rPr>
                <w:rFonts w:cstheme="minorHAnsi"/>
                <w:iCs/>
                <w:sz w:val="24"/>
                <w:szCs w:val="24"/>
              </w:rPr>
            </w:pPr>
            <w:r w:rsidRPr="00D17334">
              <w:rPr>
                <w:rFonts w:eastAsia="Calibri" w:cstheme="minorHAnsi"/>
                <w:iCs/>
                <w:sz w:val="24"/>
                <w:szCs w:val="24"/>
              </w:rPr>
              <w:t>-</w:t>
            </w:r>
          </w:p>
        </w:tc>
        <w:tc>
          <w:tcPr>
            <w:tcW w:w="5537" w:type="dxa"/>
            <w:tcBorders>
              <w:bottom w:val="single" w:sz="12" w:space="0" w:color="92D050"/>
              <w:right w:val="single" w:sz="12" w:space="0" w:color="92D050"/>
            </w:tcBorders>
            <w:vAlign w:val="center"/>
          </w:tcPr>
          <w:p w14:paraId="40C1954D" w14:textId="77777777" w:rsidR="007F7686" w:rsidRPr="00D17334" w:rsidRDefault="007F7686" w:rsidP="007F7686">
            <w:pPr>
              <w:jc w:val="both"/>
              <w:rPr>
                <w:rFonts w:eastAsia="Times New Roman" w:cstheme="minorHAnsi"/>
                <w:iCs/>
                <w:sz w:val="24"/>
                <w:szCs w:val="24"/>
                <w:lang w:eastAsia="pl-PL"/>
              </w:rPr>
            </w:pPr>
            <w:r w:rsidRPr="00D17334">
              <w:rPr>
                <w:rFonts w:eastAsia="Times New Roman" w:cstheme="minorHAnsi"/>
                <w:iCs/>
                <w:sz w:val="24"/>
                <w:szCs w:val="24"/>
                <w:lang w:eastAsia="pl-PL"/>
              </w:rPr>
              <w:t xml:space="preserve">Za osoby z niepełnosprawnościami uznaje się osoby niepełnosprawne w świetle przepisów ustawy z dnia 27 sierpnia 1997 r. o rehabilitacji zawodowej i społecznej oraz zatrudnianiu osób niepełnosprawnych, a także osoby z zaburzeniami psychicznymi, o których mowa w ustawie z dnia 19 sierpnia 1994 r. o ochronie zdrowia psychicznego tj. osoby z odpowiednim orzeczeniem lub innym dokumentem poświadczającym stan zdrowia. </w:t>
            </w:r>
          </w:p>
          <w:p w14:paraId="5D8988B5" w14:textId="77777777" w:rsidR="007F7686" w:rsidRPr="00D17334" w:rsidRDefault="007F7686" w:rsidP="007F7686">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Przynależność do grupy osób z niepełnosprawnościami określana jest w momencie rozpoczęcia udziału w projekcie, tj. w chwili rozpoczęcia udziału w pierwszej formie wsparcia w projekcie.</w:t>
            </w:r>
          </w:p>
          <w:p w14:paraId="004E6A83" w14:textId="77777777" w:rsidR="007F7686" w:rsidRPr="00D17334" w:rsidRDefault="007F7686" w:rsidP="007F7686">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 przypadku, gdy niepełnosprawność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w:t>
            </w:r>
            <w:r w:rsidRPr="00D17334">
              <w:rPr>
                <w:rFonts w:asciiTheme="minorHAnsi" w:hAnsiTheme="minorHAnsi" w:cstheme="minorHAnsi"/>
                <w:iCs/>
                <w:sz w:val="24"/>
                <w:szCs w:val="24"/>
                <w:lang w:eastAsia="pl-PL"/>
              </w:rPr>
              <w:lastRenderedPageBreak/>
              <w:t>poszczególnych uczestników. Wskaźnik należy jednak monitorować, nawet w przypadku, gdy powiązane z nim dane osobowe nie są zbierane od uczestników. Beneficjent stosuje wtedy szacunki. Najlepiej, by szacunki dotyczące uczestników z niepełnosprawnościami w ogólnej liczbie uczestników w podziale na płeć były uzyskiwane za pomocą metod, które można statystycznie uzasadnić. Jeśli nie jest to możliwe, należy wykorzystać tzw. wiarygodne szacunki (różne metody szacowania opisano w załączniku do Wytycznych monitorowania). Wybraną metodę szacowania należy udokumentować. Uwaga: w danym projekcie może być stosowana wyłącznie jedna metoda monitorowania tego wskaźnika tj. szacowanie lub zbieranie danych osobowych dot. tego wskaźnika od uczestników.</w:t>
            </w:r>
            <w:r w:rsidRPr="00D17334" w:rsidDel="001852A9">
              <w:rPr>
                <w:rFonts w:asciiTheme="minorHAnsi" w:hAnsiTheme="minorHAnsi" w:cstheme="minorHAnsi"/>
                <w:iCs/>
                <w:sz w:val="24"/>
                <w:szCs w:val="24"/>
                <w:lang w:eastAsia="pl-PL"/>
              </w:rPr>
              <w:t xml:space="preserve"> </w:t>
            </w:r>
          </w:p>
          <w:p w14:paraId="5AA95A8D" w14:textId="5B58E680" w:rsidR="007F7686" w:rsidRPr="00D17334" w:rsidRDefault="007F7686" w:rsidP="007F7686">
            <w:pPr>
              <w:spacing w:before="60" w:after="60"/>
              <w:rPr>
                <w:rFonts w:cstheme="minorHAnsi"/>
                <w:iCs/>
                <w:sz w:val="24"/>
                <w:szCs w:val="24"/>
              </w:rPr>
            </w:pPr>
            <w:r w:rsidRPr="00D17334">
              <w:rPr>
                <w:rFonts w:eastAsia="Times New Roman" w:cstheme="minorHAnsi"/>
                <w:iCs/>
                <w:sz w:val="24"/>
                <w:szCs w:val="24"/>
                <w:lang w:eastAsia="pl-PL"/>
              </w:rPr>
              <w:t>Zasady dotyczące możliwości wykorzystania wiarygodnych szacunków przez beneficjentów w danym naborze określane są przez właściwą dla programu Instytucję Zarządzającą.</w:t>
            </w:r>
          </w:p>
        </w:tc>
      </w:tr>
      <w:tr w:rsidR="00E514B3" w:rsidRPr="00D17334" w14:paraId="408A61B4" w14:textId="77777777" w:rsidTr="00C934B8">
        <w:trPr>
          <w:trHeight w:val="667"/>
          <w:jc w:val="center"/>
        </w:trPr>
        <w:tc>
          <w:tcPr>
            <w:tcW w:w="836" w:type="dxa"/>
            <w:tcBorders>
              <w:left w:val="single" w:sz="12" w:space="0" w:color="92D050"/>
              <w:bottom w:val="single" w:sz="12" w:space="0" w:color="92D050"/>
            </w:tcBorders>
            <w:vAlign w:val="center"/>
          </w:tcPr>
          <w:p w14:paraId="2B28193D" w14:textId="40D18E15"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4.</w:t>
            </w:r>
          </w:p>
        </w:tc>
        <w:tc>
          <w:tcPr>
            <w:tcW w:w="3260" w:type="dxa"/>
            <w:tcBorders>
              <w:top w:val="single" w:sz="4" w:space="0" w:color="92D050"/>
            </w:tcBorders>
            <w:vAlign w:val="center"/>
          </w:tcPr>
          <w:p w14:paraId="3C5D1240" w14:textId="4BB4596C" w:rsidR="00E514B3" w:rsidRPr="00313D3B" w:rsidRDefault="00E514B3" w:rsidP="00E514B3">
            <w:pPr>
              <w:tabs>
                <w:tab w:val="left" w:pos="3402"/>
                <w:tab w:val="left" w:pos="5103"/>
              </w:tabs>
              <w:spacing w:before="60" w:after="60"/>
              <w:rPr>
                <w:rFonts w:cstheme="minorHAnsi"/>
                <w:iCs/>
                <w:sz w:val="24"/>
                <w:szCs w:val="24"/>
              </w:rPr>
            </w:pPr>
            <w:r w:rsidRPr="00313D3B">
              <w:rPr>
                <w:rFonts w:cstheme="minorHAnsi"/>
                <w:iCs/>
                <w:sz w:val="24"/>
                <w:szCs w:val="24"/>
              </w:rPr>
              <w:t>Liczba osób z krajów trzecich objętych wsparciem w programie</w:t>
            </w:r>
          </w:p>
        </w:tc>
        <w:tc>
          <w:tcPr>
            <w:tcW w:w="1276" w:type="dxa"/>
            <w:tcBorders>
              <w:top w:val="single" w:sz="4" w:space="0" w:color="92D050"/>
            </w:tcBorders>
            <w:shd w:val="clear" w:color="auto" w:fill="auto"/>
            <w:vAlign w:val="center"/>
          </w:tcPr>
          <w:p w14:paraId="5991F9F7" w14:textId="60D76617"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eastAsia="Times New Roman" w:cstheme="minorHAnsi"/>
                <w:iCs/>
                <w:sz w:val="24"/>
                <w:szCs w:val="24"/>
                <w:lang w:eastAsia="pl-PL"/>
              </w:rPr>
              <w:t>osoby</w:t>
            </w:r>
          </w:p>
        </w:tc>
        <w:tc>
          <w:tcPr>
            <w:tcW w:w="1413" w:type="dxa"/>
            <w:tcBorders>
              <w:top w:val="single" w:sz="4" w:space="0" w:color="92D050"/>
            </w:tcBorders>
            <w:shd w:val="clear" w:color="auto" w:fill="auto"/>
            <w:vAlign w:val="center"/>
          </w:tcPr>
          <w:p w14:paraId="502F54F7" w14:textId="427462BD"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eastAsia="Calibri" w:cstheme="minorHAnsi"/>
                <w:iCs/>
                <w:sz w:val="24"/>
                <w:szCs w:val="24"/>
              </w:rPr>
              <w:t>produkt</w:t>
            </w:r>
          </w:p>
        </w:tc>
        <w:tc>
          <w:tcPr>
            <w:tcW w:w="1422" w:type="dxa"/>
            <w:tcBorders>
              <w:top w:val="single" w:sz="4" w:space="0" w:color="92D050"/>
            </w:tcBorders>
            <w:shd w:val="clear" w:color="auto" w:fill="auto"/>
            <w:vAlign w:val="center"/>
          </w:tcPr>
          <w:p w14:paraId="42DB7893" w14:textId="05FCB319" w:rsidR="00E514B3" w:rsidRPr="00D17334" w:rsidRDefault="00E514B3" w:rsidP="00E514B3">
            <w:pPr>
              <w:spacing w:before="60" w:after="60"/>
              <w:ind w:right="-93"/>
              <w:jc w:val="center"/>
              <w:rPr>
                <w:rFonts w:cstheme="minorHAnsi"/>
                <w:iCs/>
                <w:sz w:val="24"/>
                <w:szCs w:val="24"/>
              </w:rPr>
            </w:pPr>
            <w:r w:rsidRPr="00D17334">
              <w:rPr>
                <w:rFonts w:eastAsia="Calibri" w:cstheme="minorHAnsi"/>
                <w:iCs/>
                <w:sz w:val="24"/>
                <w:szCs w:val="24"/>
              </w:rPr>
              <w:t>kluczowy</w:t>
            </w:r>
          </w:p>
        </w:tc>
        <w:tc>
          <w:tcPr>
            <w:tcW w:w="1834" w:type="dxa"/>
            <w:tcBorders>
              <w:top w:val="single" w:sz="4" w:space="0" w:color="92D050"/>
            </w:tcBorders>
            <w:vAlign w:val="center"/>
          </w:tcPr>
          <w:p w14:paraId="78AD6801" w14:textId="4A6F6FAB"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eastAsia="Calibri" w:cstheme="minorHAnsi"/>
                <w:iCs/>
                <w:sz w:val="24"/>
                <w:szCs w:val="24"/>
              </w:rPr>
              <w:t>-</w:t>
            </w:r>
          </w:p>
        </w:tc>
        <w:tc>
          <w:tcPr>
            <w:tcW w:w="5537" w:type="dxa"/>
            <w:tcBorders>
              <w:bottom w:val="single" w:sz="12" w:space="0" w:color="92D050"/>
              <w:right w:val="single" w:sz="12" w:space="0" w:color="92D050"/>
            </w:tcBorders>
            <w:vAlign w:val="center"/>
          </w:tcPr>
          <w:p w14:paraId="65CA3FFF"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 xml:space="preserve">Osoby, które są obywatelami krajów spoza UE. Do wskaźnika wlicza się też bezpaństwowców zgodnie z Konwencją o statusie bezpaństwowców z 1954 r. i osoby bez ustalonego obywatelstwa. </w:t>
            </w:r>
          </w:p>
          <w:p w14:paraId="1B060F94"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 xml:space="preserve">Przynależność do grupy osób z krajów trzecich określana jest w momencie rozpoczęcia udziału w </w:t>
            </w:r>
            <w:r w:rsidRPr="00D17334">
              <w:rPr>
                <w:rFonts w:asciiTheme="minorHAnsi" w:hAnsiTheme="minorHAnsi" w:cstheme="minorHAnsi"/>
                <w:iCs/>
                <w:sz w:val="24"/>
                <w:szCs w:val="24"/>
              </w:rPr>
              <w:lastRenderedPageBreak/>
              <w:t>projekcie, tj. w chwili rozpoczęcia udziału w pierwszej formie wsparcia w projekcie.</w:t>
            </w:r>
          </w:p>
          <w:p w14:paraId="5290507F"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W przypadku, gdy obywatelstwo państw trzecich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nim dane osobowe nie są zbierane od uczestników. Beneficjent stosuje wtedy szacunki. Najlepiej, by szacunki dotyczące uczestników z krajów trzecich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r w:rsidRPr="00D17334" w:rsidDel="001852A9">
              <w:rPr>
                <w:rFonts w:asciiTheme="minorHAnsi" w:hAnsiTheme="minorHAnsi" w:cstheme="minorHAnsi"/>
                <w:iCs/>
                <w:sz w:val="24"/>
                <w:szCs w:val="24"/>
                <w:lang w:eastAsia="pl-PL"/>
              </w:rPr>
              <w:t xml:space="preserve"> </w:t>
            </w:r>
          </w:p>
          <w:p w14:paraId="2F7BEEF1" w14:textId="056CE6AA" w:rsidR="00E514B3" w:rsidRPr="00D17334" w:rsidRDefault="00E514B3" w:rsidP="00E514B3">
            <w:pPr>
              <w:spacing w:before="60" w:after="60"/>
              <w:rPr>
                <w:rFonts w:cstheme="minorHAnsi"/>
                <w:iCs/>
                <w:sz w:val="24"/>
                <w:szCs w:val="24"/>
              </w:rPr>
            </w:pPr>
            <w:r w:rsidRPr="00D17334">
              <w:rPr>
                <w:rFonts w:cstheme="minorHAnsi"/>
                <w:iCs/>
                <w:sz w:val="24"/>
                <w:szCs w:val="24"/>
              </w:rPr>
              <w:lastRenderedPageBreak/>
              <w:t>Zasady dotyczące możliwości wykorzystania wiarygodnych szacunków przez beneficjentów w danym naborze określane są przez właściwą dla programu Instytucję Zarządzającą.</w:t>
            </w:r>
          </w:p>
        </w:tc>
      </w:tr>
      <w:tr w:rsidR="00E514B3" w:rsidRPr="00D17334" w14:paraId="244117F8" w14:textId="77777777" w:rsidTr="00C934B8">
        <w:trPr>
          <w:trHeight w:val="667"/>
          <w:jc w:val="center"/>
        </w:trPr>
        <w:tc>
          <w:tcPr>
            <w:tcW w:w="836" w:type="dxa"/>
            <w:tcBorders>
              <w:left w:val="single" w:sz="12" w:space="0" w:color="92D050"/>
              <w:bottom w:val="single" w:sz="12" w:space="0" w:color="92D050"/>
            </w:tcBorders>
            <w:vAlign w:val="center"/>
          </w:tcPr>
          <w:p w14:paraId="06A1B25E" w14:textId="5B6EF68B"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5.</w:t>
            </w:r>
          </w:p>
        </w:tc>
        <w:tc>
          <w:tcPr>
            <w:tcW w:w="3260" w:type="dxa"/>
            <w:tcBorders>
              <w:top w:val="single" w:sz="4" w:space="0" w:color="92D050"/>
            </w:tcBorders>
            <w:vAlign w:val="center"/>
          </w:tcPr>
          <w:p w14:paraId="0444761A" w14:textId="301BC5B2" w:rsidR="00E514B3" w:rsidRPr="00313D3B" w:rsidRDefault="00E514B3" w:rsidP="00E514B3">
            <w:pPr>
              <w:tabs>
                <w:tab w:val="left" w:pos="3402"/>
                <w:tab w:val="left" w:pos="5103"/>
              </w:tabs>
              <w:spacing w:before="60" w:after="60"/>
              <w:rPr>
                <w:rFonts w:cstheme="minorHAnsi"/>
                <w:iCs/>
                <w:sz w:val="24"/>
                <w:szCs w:val="24"/>
              </w:rPr>
            </w:pPr>
            <w:r w:rsidRPr="00313D3B">
              <w:rPr>
                <w:rFonts w:cstheme="minorHAnsi"/>
                <w:iCs/>
                <w:sz w:val="24"/>
                <w:szCs w:val="24"/>
              </w:rPr>
              <w:t>Liczba osób obcego pochodzenia objętych wsparciem w programie</w:t>
            </w:r>
          </w:p>
        </w:tc>
        <w:tc>
          <w:tcPr>
            <w:tcW w:w="1276" w:type="dxa"/>
            <w:tcBorders>
              <w:top w:val="single" w:sz="4" w:space="0" w:color="92D050"/>
            </w:tcBorders>
            <w:shd w:val="clear" w:color="auto" w:fill="auto"/>
            <w:vAlign w:val="center"/>
          </w:tcPr>
          <w:p w14:paraId="51736E87" w14:textId="347BF796"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eastAsia="Times New Roman" w:cstheme="minorHAnsi"/>
                <w:iCs/>
                <w:sz w:val="24"/>
                <w:szCs w:val="24"/>
                <w:lang w:eastAsia="pl-PL"/>
              </w:rPr>
              <w:t>osoby</w:t>
            </w:r>
          </w:p>
        </w:tc>
        <w:tc>
          <w:tcPr>
            <w:tcW w:w="1413" w:type="dxa"/>
            <w:tcBorders>
              <w:top w:val="single" w:sz="4" w:space="0" w:color="92D050"/>
            </w:tcBorders>
            <w:shd w:val="clear" w:color="auto" w:fill="auto"/>
            <w:vAlign w:val="center"/>
          </w:tcPr>
          <w:p w14:paraId="54641BE4" w14:textId="12D5F8A2"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eastAsia="Times New Roman" w:cstheme="minorHAnsi"/>
                <w:iCs/>
                <w:sz w:val="24"/>
                <w:szCs w:val="24"/>
                <w:lang w:eastAsia="pl-PL"/>
              </w:rPr>
              <w:t>produkt</w:t>
            </w:r>
          </w:p>
        </w:tc>
        <w:tc>
          <w:tcPr>
            <w:tcW w:w="1422" w:type="dxa"/>
            <w:tcBorders>
              <w:top w:val="single" w:sz="4" w:space="0" w:color="92D050"/>
            </w:tcBorders>
            <w:shd w:val="clear" w:color="auto" w:fill="auto"/>
            <w:vAlign w:val="center"/>
          </w:tcPr>
          <w:p w14:paraId="1F8ED46B" w14:textId="35B008BD" w:rsidR="00E514B3" w:rsidRPr="00D17334" w:rsidRDefault="00E514B3" w:rsidP="00E514B3">
            <w:pPr>
              <w:spacing w:before="60" w:after="60"/>
              <w:ind w:right="-93"/>
              <w:jc w:val="center"/>
              <w:rPr>
                <w:rFonts w:cstheme="minorHAnsi"/>
                <w:iCs/>
                <w:sz w:val="24"/>
                <w:szCs w:val="24"/>
              </w:rPr>
            </w:pPr>
            <w:r w:rsidRPr="00D17334">
              <w:rPr>
                <w:rFonts w:eastAsia="Calibri" w:cstheme="minorHAnsi"/>
                <w:iCs/>
                <w:sz w:val="24"/>
                <w:szCs w:val="24"/>
              </w:rPr>
              <w:t>kluczowy</w:t>
            </w:r>
          </w:p>
        </w:tc>
        <w:tc>
          <w:tcPr>
            <w:tcW w:w="1834" w:type="dxa"/>
            <w:tcBorders>
              <w:top w:val="single" w:sz="4" w:space="0" w:color="92D050"/>
            </w:tcBorders>
            <w:vAlign w:val="center"/>
          </w:tcPr>
          <w:p w14:paraId="4577D780" w14:textId="3D4C02BE"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eastAsia="Calibri" w:cstheme="minorHAnsi"/>
                <w:iCs/>
                <w:sz w:val="24"/>
                <w:szCs w:val="24"/>
              </w:rPr>
              <w:t xml:space="preserve">- </w:t>
            </w:r>
          </w:p>
        </w:tc>
        <w:tc>
          <w:tcPr>
            <w:tcW w:w="5537" w:type="dxa"/>
            <w:tcBorders>
              <w:bottom w:val="single" w:sz="12" w:space="0" w:color="92D050"/>
              <w:right w:val="single" w:sz="12" w:space="0" w:color="92D050"/>
            </w:tcBorders>
            <w:vAlign w:val="center"/>
          </w:tcPr>
          <w:p w14:paraId="3DD9C905"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 xml:space="preserve">Osoby obcego pochodzenia to cudzoziemcy - każda osoba, która nie posiada polskiego obywatelstwa, bez względu na fakt posiadania lub nie obywatelstwa (obywatelstw) innych krajów. </w:t>
            </w:r>
          </w:p>
          <w:p w14:paraId="6701A6AC"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Wskaźnik nie obejmuje osób należących do mniejszości, których udział w projektach monitorowany jest wskaźnikiem liczba osób należących do mniejszości, w tym społeczności marginalizowanych takich jak Romowie, objętych wsparciem w programie.</w:t>
            </w:r>
          </w:p>
          <w:p w14:paraId="4563F6DD"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Przynależność do grupy osób obcego pochodzenia określana jest w momencie rozpoczęcia udziału w projekcie, tj. w chwili rozpoczęcia udziału w pierwszej formie wsparcia w projekcie.</w:t>
            </w:r>
          </w:p>
          <w:p w14:paraId="27026915"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 przypadku, gdy fakt bycia cudzoziemcem (osobą obcego pochodzenia)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w:t>
            </w:r>
            <w:r w:rsidRPr="00D17334">
              <w:rPr>
                <w:rFonts w:asciiTheme="minorHAnsi" w:hAnsiTheme="minorHAnsi" w:cstheme="minorHAnsi"/>
                <w:iCs/>
                <w:sz w:val="24"/>
                <w:szCs w:val="24"/>
                <w:lang w:eastAsia="pl-PL"/>
              </w:rPr>
              <w:lastRenderedPageBreak/>
              <w:t>nie muszą być zbierane od poszczególnych uczestników. Wskaźnik należy jednak monitorować, nawet w przypadku, gdy powiązane z nim dane osobowe nie są zbierane od uczestników. Beneficjent stosuje wtedy szacunki. Najlepiej, by szacunki dotyczące uczestników obcego pochodzenia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r w:rsidRPr="00D17334" w:rsidDel="001852A9">
              <w:rPr>
                <w:rFonts w:asciiTheme="minorHAnsi" w:hAnsiTheme="minorHAnsi" w:cstheme="minorHAnsi"/>
                <w:iCs/>
                <w:sz w:val="24"/>
                <w:szCs w:val="24"/>
                <w:lang w:eastAsia="pl-PL"/>
              </w:rPr>
              <w:t xml:space="preserve"> </w:t>
            </w:r>
          </w:p>
          <w:p w14:paraId="22861A94"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lang w:eastAsia="pl-PL"/>
              </w:rPr>
              <w:t xml:space="preserve">Informacje dodatkowe: Wskaźnik będzie obejmował zawsze osoby </w:t>
            </w:r>
            <w:r w:rsidRPr="00D17334">
              <w:rPr>
                <w:rFonts w:asciiTheme="minorHAnsi" w:hAnsiTheme="minorHAnsi" w:cstheme="minorHAnsi"/>
                <w:iCs/>
                <w:sz w:val="24"/>
                <w:szCs w:val="24"/>
              </w:rPr>
              <w:t>z krajów trzecich, zliczane we wskaźniku liczba osób z krajów trzecich objętych wsparciem w programie.</w:t>
            </w:r>
          </w:p>
          <w:p w14:paraId="2193200B" w14:textId="0DB67257" w:rsidR="00E514B3" w:rsidRPr="00D17334" w:rsidRDefault="00E514B3" w:rsidP="00E514B3">
            <w:pPr>
              <w:spacing w:before="60" w:after="60"/>
              <w:rPr>
                <w:rFonts w:cstheme="minorHAnsi"/>
                <w:iCs/>
                <w:sz w:val="24"/>
                <w:szCs w:val="24"/>
              </w:rPr>
            </w:pPr>
            <w:r w:rsidRPr="00D17334">
              <w:rPr>
                <w:rFonts w:cstheme="minorHAnsi"/>
                <w:iCs/>
                <w:sz w:val="24"/>
                <w:szCs w:val="24"/>
              </w:rPr>
              <w:t>Zasady dotyczące możliwości wykorzystania wiarygodnych szacunków przez beneficjentów w danym naborze określane są przez właściwą dla programu Instytucję Zarządzającą.</w:t>
            </w:r>
          </w:p>
        </w:tc>
      </w:tr>
      <w:tr w:rsidR="00E514B3" w:rsidRPr="00D17334" w14:paraId="51ED2DC8" w14:textId="77777777" w:rsidTr="00C934B8">
        <w:trPr>
          <w:trHeight w:val="667"/>
          <w:jc w:val="center"/>
        </w:trPr>
        <w:tc>
          <w:tcPr>
            <w:tcW w:w="836" w:type="dxa"/>
            <w:tcBorders>
              <w:left w:val="single" w:sz="12" w:space="0" w:color="92D050"/>
              <w:bottom w:val="single" w:sz="12" w:space="0" w:color="92D050"/>
            </w:tcBorders>
            <w:vAlign w:val="center"/>
          </w:tcPr>
          <w:p w14:paraId="61017AC5" w14:textId="351DD9F8"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6.</w:t>
            </w:r>
          </w:p>
        </w:tc>
        <w:tc>
          <w:tcPr>
            <w:tcW w:w="3260" w:type="dxa"/>
            <w:tcBorders>
              <w:top w:val="single" w:sz="4" w:space="0" w:color="92D050"/>
              <w:bottom w:val="single" w:sz="4" w:space="0" w:color="92D050"/>
            </w:tcBorders>
            <w:vAlign w:val="center"/>
          </w:tcPr>
          <w:p w14:paraId="10CFBA53" w14:textId="281202D3" w:rsidR="00E514B3" w:rsidRPr="00313D3B" w:rsidRDefault="00E514B3" w:rsidP="00E514B3">
            <w:pPr>
              <w:tabs>
                <w:tab w:val="left" w:pos="3402"/>
                <w:tab w:val="left" w:pos="5103"/>
              </w:tabs>
              <w:spacing w:before="60" w:after="60"/>
              <w:rPr>
                <w:rFonts w:cstheme="minorHAnsi"/>
                <w:iCs/>
                <w:sz w:val="24"/>
                <w:szCs w:val="24"/>
              </w:rPr>
            </w:pPr>
            <w:r w:rsidRPr="00313D3B">
              <w:rPr>
                <w:rFonts w:cstheme="minorHAnsi"/>
                <w:iCs/>
                <w:sz w:val="24"/>
                <w:szCs w:val="24"/>
              </w:rPr>
              <w:t>Liczba osób należących do mniejszości, w tym społeczności marginalizowanych takich jak Romowie, objętych wsparciem w programie</w:t>
            </w:r>
          </w:p>
        </w:tc>
        <w:tc>
          <w:tcPr>
            <w:tcW w:w="1276" w:type="dxa"/>
            <w:tcBorders>
              <w:top w:val="single" w:sz="4" w:space="0" w:color="92D050"/>
              <w:bottom w:val="single" w:sz="4" w:space="0" w:color="92D050"/>
            </w:tcBorders>
            <w:shd w:val="clear" w:color="auto" w:fill="auto"/>
            <w:vAlign w:val="center"/>
          </w:tcPr>
          <w:p w14:paraId="0C2BC511" w14:textId="56031D49"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eastAsia="Times New Roman" w:cstheme="minorHAnsi"/>
                <w:iCs/>
                <w:sz w:val="24"/>
                <w:szCs w:val="24"/>
                <w:lang w:eastAsia="pl-PL"/>
              </w:rPr>
              <w:t>osoby</w:t>
            </w:r>
          </w:p>
        </w:tc>
        <w:tc>
          <w:tcPr>
            <w:tcW w:w="1413" w:type="dxa"/>
            <w:tcBorders>
              <w:top w:val="single" w:sz="4" w:space="0" w:color="92D050"/>
              <w:bottom w:val="single" w:sz="4" w:space="0" w:color="92D050"/>
            </w:tcBorders>
            <w:shd w:val="clear" w:color="auto" w:fill="auto"/>
            <w:vAlign w:val="center"/>
          </w:tcPr>
          <w:p w14:paraId="0633D886" w14:textId="5087620B"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eastAsia="Calibri" w:cstheme="minorHAnsi"/>
                <w:iCs/>
                <w:sz w:val="24"/>
                <w:szCs w:val="24"/>
              </w:rPr>
              <w:t>produkt</w:t>
            </w:r>
          </w:p>
        </w:tc>
        <w:tc>
          <w:tcPr>
            <w:tcW w:w="1422" w:type="dxa"/>
            <w:tcBorders>
              <w:top w:val="single" w:sz="4" w:space="0" w:color="92D050"/>
              <w:bottom w:val="single" w:sz="4" w:space="0" w:color="92D050"/>
            </w:tcBorders>
            <w:shd w:val="clear" w:color="auto" w:fill="auto"/>
            <w:vAlign w:val="center"/>
          </w:tcPr>
          <w:p w14:paraId="0E063AC4" w14:textId="74C928BE" w:rsidR="00E514B3" w:rsidRPr="00D17334" w:rsidRDefault="00E514B3" w:rsidP="00E514B3">
            <w:pPr>
              <w:spacing w:before="60" w:after="60"/>
              <w:ind w:right="-93"/>
              <w:jc w:val="center"/>
              <w:rPr>
                <w:rFonts w:cstheme="minorHAnsi"/>
                <w:iCs/>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20091984" w14:textId="642CFEAD"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eastAsia="Calibri" w:cstheme="minorHAnsi"/>
                <w:iCs/>
                <w:sz w:val="24"/>
                <w:szCs w:val="24"/>
              </w:rPr>
              <w:t>-</w:t>
            </w:r>
          </w:p>
        </w:tc>
        <w:tc>
          <w:tcPr>
            <w:tcW w:w="5537" w:type="dxa"/>
            <w:tcBorders>
              <w:bottom w:val="single" w:sz="12" w:space="0" w:color="92D050"/>
              <w:right w:val="single" w:sz="12" w:space="0" w:color="92D050"/>
            </w:tcBorders>
            <w:vAlign w:val="center"/>
          </w:tcPr>
          <w:p w14:paraId="2B4D2D87"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Wskaźnik obejmuje osoby należące do mniejszości narodowych i etnicznych biorące udział w projektach EFS+.</w:t>
            </w:r>
          </w:p>
          <w:p w14:paraId="4AD8572E"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Zgodnie z prawem krajowym mniejszości narodowe to mniejszość: białoruska, czeska, litewska, niemiecka, ormiańska, rosyjska, słowacka, ukraińska, żydowska. Mniejszości etniczne: karaimska, łemkowska, romska, tatarska.</w:t>
            </w:r>
            <w:r w:rsidRPr="00D17334">
              <w:rPr>
                <w:rFonts w:asciiTheme="minorHAnsi" w:hAnsiTheme="minorHAnsi" w:cstheme="minorHAnsi"/>
                <w:iCs/>
                <w:sz w:val="24"/>
                <w:szCs w:val="24"/>
                <w:lang w:eastAsia="pl-PL"/>
              </w:rPr>
              <w:br/>
              <w:t>Definicja opracowana na podstawie ustawy z dnia 6 stycznia 2005 r. o mniejszościach narodowych i etnicznych oraz o języku regionalnym.</w:t>
            </w:r>
          </w:p>
          <w:p w14:paraId="68954FF5"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Przynależność do grupy osób należących do mniejszości określana jest w momencie rozpoczęcia udziału w projekcie, tj. w chwili rozpoczęcia udziału w pierwszej formie wsparcia w projekcie.</w:t>
            </w:r>
          </w:p>
          <w:p w14:paraId="43295873"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 przypadku, gdy przynależność do mniejszości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nawet w przypadku, gdy powiązane z </w:t>
            </w:r>
            <w:r w:rsidRPr="00D17334">
              <w:rPr>
                <w:rFonts w:asciiTheme="minorHAnsi" w:hAnsiTheme="minorHAnsi" w:cstheme="minorHAnsi"/>
                <w:iCs/>
                <w:sz w:val="24"/>
                <w:szCs w:val="24"/>
                <w:lang w:eastAsia="pl-PL"/>
              </w:rPr>
              <w:lastRenderedPageBreak/>
              <w:t>nim dane osobowe nie są zbierane od uczestników. Beneficjent stosuje wtedy szacunki. Najlepiej, by szacunki dotyczące uczestników należących do mniejszości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p>
          <w:p w14:paraId="1824AC28" w14:textId="24330394" w:rsidR="00E514B3" w:rsidRPr="00D17334" w:rsidRDefault="00E514B3" w:rsidP="00E514B3">
            <w:pPr>
              <w:spacing w:before="60" w:after="60"/>
              <w:rPr>
                <w:rFonts w:cstheme="minorHAnsi"/>
                <w:iCs/>
                <w:sz w:val="24"/>
                <w:szCs w:val="24"/>
              </w:rPr>
            </w:pPr>
            <w:r w:rsidRPr="00D17334">
              <w:rPr>
                <w:rFonts w:cstheme="minorHAnsi"/>
                <w:iCs/>
                <w:sz w:val="24"/>
                <w:szCs w:val="24"/>
              </w:rPr>
              <w:t>Zasady dotyczące możliwości wykorzystania wiarygodnych szacunków przez beneficjentów w danym naborze określane są przez właściwą dla programu Instytucję Zarządzającą</w:t>
            </w:r>
          </w:p>
        </w:tc>
      </w:tr>
      <w:tr w:rsidR="00E514B3" w:rsidRPr="00D17334" w14:paraId="4B6ADA5E" w14:textId="77777777" w:rsidTr="00C934B8">
        <w:trPr>
          <w:trHeight w:val="667"/>
          <w:jc w:val="center"/>
        </w:trPr>
        <w:tc>
          <w:tcPr>
            <w:tcW w:w="836" w:type="dxa"/>
            <w:tcBorders>
              <w:left w:val="single" w:sz="12" w:space="0" w:color="92D050"/>
              <w:bottom w:val="single" w:sz="12" w:space="0" w:color="92D050"/>
            </w:tcBorders>
            <w:vAlign w:val="center"/>
          </w:tcPr>
          <w:p w14:paraId="17FC2BC3" w14:textId="0A9DBB17"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7.</w:t>
            </w:r>
          </w:p>
        </w:tc>
        <w:tc>
          <w:tcPr>
            <w:tcW w:w="3260" w:type="dxa"/>
            <w:tcBorders>
              <w:top w:val="single" w:sz="4" w:space="0" w:color="92D050"/>
              <w:bottom w:val="single" w:sz="4" w:space="0" w:color="92D050"/>
            </w:tcBorders>
            <w:vAlign w:val="center"/>
          </w:tcPr>
          <w:p w14:paraId="4027A910" w14:textId="2D332437" w:rsidR="00E514B3" w:rsidRPr="00313D3B" w:rsidRDefault="00E514B3" w:rsidP="00E514B3">
            <w:pPr>
              <w:tabs>
                <w:tab w:val="left" w:pos="3402"/>
                <w:tab w:val="left" w:pos="5103"/>
              </w:tabs>
              <w:spacing w:before="60" w:after="60"/>
              <w:rPr>
                <w:rFonts w:cstheme="minorHAnsi"/>
                <w:iCs/>
                <w:sz w:val="24"/>
                <w:szCs w:val="24"/>
              </w:rPr>
            </w:pPr>
            <w:r w:rsidRPr="00313D3B">
              <w:rPr>
                <w:rFonts w:cstheme="minorHAnsi"/>
                <w:iCs/>
                <w:sz w:val="24"/>
                <w:szCs w:val="24"/>
              </w:rPr>
              <w:t>Liczba osób w kryzysie bezdomności lub dotkniętych wykluczeniem z dostępu do mieszkań, objętych wsparciem w programie</w:t>
            </w:r>
          </w:p>
        </w:tc>
        <w:tc>
          <w:tcPr>
            <w:tcW w:w="1276" w:type="dxa"/>
            <w:tcBorders>
              <w:top w:val="single" w:sz="4" w:space="0" w:color="92D050"/>
              <w:bottom w:val="single" w:sz="4" w:space="0" w:color="92D050"/>
            </w:tcBorders>
            <w:shd w:val="clear" w:color="auto" w:fill="auto"/>
            <w:vAlign w:val="center"/>
          </w:tcPr>
          <w:p w14:paraId="4C8DA0C1" w14:textId="1E01250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eastAsia="Times New Roman" w:cstheme="minorHAnsi"/>
                <w:iCs/>
                <w:sz w:val="24"/>
                <w:szCs w:val="24"/>
                <w:lang w:eastAsia="pl-PL"/>
              </w:rPr>
              <w:t>osoby</w:t>
            </w:r>
          </w:p>
        </w:tc>
        <w:tc>
          <w:tcPr>
            <w:tcW w:w="1413" w:type="dxa"/>
            <w:tcBorders>
              <w:top w:val="single" w:sz="4" w:space="0" w:color="92D050"/>
              <w:bottom w:val="single" w:sz="4" w:space="0" w:color="92D050"/>
            </w:tcBorders>
            <w:shd w:val="clear" w:color="auto" w:fill="auto"/>
            <w:vAlign w:val="center"/>
          </w:tcPr>
          <w:p w14:paraId="705CF310" w14:textId="2CF554BB"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eastAsia="Calibri" w:cstheme="minorHAnsi"/>
                <w:iCs/>
                <w:sz w:val="24"/>
                <w:szCs w:val="24"/>
              </w:rPr>
              <w:t>produkt</w:t>
            </w:r>
          </w:p>
        </w:tc>
        <w:tc>
          <w:tcPr>
            <w:tcW w:w="1422" w:type="dxa"/>
            <w:tcBorders>
              <w:top w:val="single" w:sz="4" w:space="0" w:color="92D050"/>
              <w:bottom w:val="single" w:sz="4" w:space="0" w:color="92D050"/>
            </w:tcBorders>
            <w:shd w:val="clear" w:color="auto" w:fill="auto"/>
            <w:vAlign w:val="center"/>
          </w:tcPr>
          <w:p w14:paraId="38E59CAE" w14:textId="5AC05AB4" w:rsidR="00E514B3" w:rsidRPr="00D17334" w:rsidRDefault="00E514B3" w:rsidP="00E514B3">
            <w:pPr>
              <w:spacing w:before="60" w:after="60"/>
              <w:ind w:right="-93"/>
              <w:jc w:val="center"/>
              <w:rPr>
                <w:rFonts w:cstheme="minorHAnsi"/>
                <w:iCs/>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5BB8A064" w14:textId="2064A441"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eastAsia="Calibri" w:cstheme="minorHAnsi"/>
                <w:iCs/>
                <w:sz w:val="24"/>
                <w:szCs w:val="24"/>
              </w:rPr>
              <w:t>-</w:t>
            </w:r>
          </w:p>
        </w:tc>
        <w:tc>
          <w:tcPr>
            <w:tcW w:w="5537" w:type="dxa"/>
            <w:tcBorders>
              <w:bottom w:val="single" w:sz="12" w:space="0" w:color="92D050"/>
              <w:right w:val="single" w:sz="12" w:space="0" w:color="92D050"/>
            </w:tcBorders>
            <w:vAlign w:val="center"/>
          </w:tcPr>
          <w:p w14:paraId="541D0966"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We wskaźniku wykazywane są osoby w kryzysie bezdomności lub dotknięte wykluczeniem z dostępu do mieszkań.</w:t>
            </w:r>
            <w:r w:rsidRPr="00D17334">
              <w:rPr>
                <w:rFonts w:asciiTheme="minorHAnsi" w:hAnsiTheme="minorHAnsi" w:cstheme="minorHAnsi"/>
                <w:iCs/>
                <w:sz w:val="24"/>
                <w:szCs w:val="24"/>
                <w:lang w:eastAsia="pl-PL"/>
              </w:rPr>
              <w:br w:type="page"/>
            </w:r>
          </w:p>
          <w:p w14:paraId="78FE7694"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Bezdomność i wykluczenie mieszkaniowe definiowane są zgodnie z Europejską typologią bezdomności i wykluczenia mieszkaniowego ETHOS, w której wskazuje się okoliczności życia w bezdomności lub </w:t>
            </w:r>
            <w:r w:rsidRPr="00D17334">
              <w:rPr>
                <w:rFonts w:asciiTheme="minorHAnsi" w:hAnsiTheme="minorHAnsi" w:cstheme="minorHAnsi"/>
                <w:iCs/>
                <w:sz w:val="24"/>
                <w:szCs w:val="24"/>
                <w:lang w:eastAsia="pl-PL"/>
              </w:rPr>
              <w:lastRenderedPageBreak/>
              <w:t>ekstremalne formy wykluczenia mieszkaniowego oraz ustawą z dnia 12 marca 2004 r.  o pomocy społecznej:</w:t>
            </w:r>
            <w:r w:rsidRPr="00D17334">
              <w:rPr>
                <w:rFonts w:asciiTheme="minorHAnsi" w:hAnsiTheme="minorHAnsi" w:cstheme="minorHAnsi"/>
                <w:iCs/>
                <w:sz w:val="24"/>
                <w:szCs w:val="24"/>
                <w:lang w:eastAsia="pl-PL"/>
              </w:rPr>
              <w:br w:type="page"/>
              <w:t xml:space="preserve"> </w:t>
            </w:r>
          </w:p>
          <w:p w14:paraId="5517F484" w14:textId="77777777" w:rsidR="00E514B3" w:rsidRPr="00D17334" w:rsidRDefault="00E514B3" w:rsidP="00E514B3">
            <w:pPr>
              <w:pStyle w:val="Akapitzlist"/>
              <w:numPr>
                <w:ilvl w:val="0"/>
                <w:numId w:val="34"/>
              </w:numPr>
              <w:spacing w:after="12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Bez dachu nad głową, w tym osoby żyjące w przestrzeni publicznej lub zakwaterowane interwencyjnie;</w:t>
            </w:r>
          </w:p>
          <w:p w14:paraId="130C4366" w14:textId="77777777" w:rsidR="00E514B3" w:rsidRPr="00D17334" w:rsidRDefault="00E514B3" w:rsidP="00E514B3">
            <w:pPr>
              <w:pStyle w:val="Akapitzlist"/>
              <w:numPr>
                <w:ilvl w:val="0"/>
                <w:numId w:val="34"/>
              </w:numPr>
              <w:spacing w:after="12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br w:type="page"/>
              <w:t xml:space="preserve">Bez mieszkania, w tym osoby zakwaterowane w placówkach dla bezdomnych, w schroniskach dla kobiet, schroniskach dla imigrantów, osoby opuszczające instytucje penitencjarne/karne/medyczne, instytucje opiekuńcze, osoby otrzymujące długookresowe wsparcie z powodu bezdomności - specjalistyczne zakwaterowanie wspierane); </w:t>
            </w:r>
          </w:p>
          <w:p w14:paraId="5882528E" w14:textId="77777777" w:rsidR="00E514B3" w:rsidRPr="00D17334" w:rsidRDefault="00E514B3" w:rsidP="00E514B3">
            <w:pPr>
              <w:pStyle w:val="Akapitzlist"/>
              <w:numPr>
                <w:ilvl w:val="0"/>
                <w:numId w:val="34"/>
              </w:numPr>
              <w:spacing w:after="12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Niezabezpieczone zakwaterowanie, w tym osoby w lokalach niezabezpieczonych – przebywające czasowo u rodziny/przyjaciół, tj. przebywające w konwencjonalnych warunkach lokalowych, ale nie w stałym miejscu zamieszkania ze względu na brak posiadania takiego, wynajmujący nielegalnie lub nielegalnie zajmujące ziemie, osoby posiadające niepewny najem z nakazem eksmisji, osoby zagrożone przemocą;</w:t>
            </w:r>
          </w:p>
          <w:p w14:paraId="1AA5FBC3" w14:textId="77777777" w:rsidR="00E514B3" w:rsidRPr="00D17334" w:rsidRDefault="00E514B3" w:rsidP="00E514B3">
            <w:pPr>
              <w:pStyle w:val="Akapitzlist"/>
              <w:numPr>
                <w:ilvl w:val="0"/>
                <w:numId w:val="34"/>
              </w:numPr>
              <w:spacing w:after="12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br w:type="page"/>
              <w:t xml:space="preserve">Nieodpowiednie warunki mieszkaniowe, w tym osoby zamieszkujące konstrukcje </w:t>
            </w:r>
            <w:r w:rsidRPr="00D17334">
              <w:rPr>
                <w:rFonts w:asciiTheme="minorHAnsi" w:hAnsiTheme="minorHAnsi" w:cstheme="minorHAnsi"/>
                <w:iCs/>
                <w:sz w:val="24"/>
                <w:szCs w:val="24"/>
                <w:lang w:eastAsia="pl-PL"/>
              </w:rPr>
              <w:lastRenderedPageBreak/>
              <w:t xml:space="preserve">tymczasowe/nietrwałe, mieszkania </w:t>
            </w:r>
            <w:proofErr w:type="spellStart"/>
            <w:r w:rsidRPr="00D17334">
              <w:rPr>
                <w:rFonts w:asciiTheme="minorHAnsi" w:hAnsiTheme="minorHAnsi" w:cstheme="minorHAnsi"/>
                <w:iCs/>
                <w:sz w:val="24"/>
                <w:szCs w:val="24"/>
                <w:lang w:eastAsia="pl-PL"/>
              </w:rPr>
              <w:t>substandardowe</w:t>
            </w:r>
            <w:proofErr w:type="spellEnd"/>
            <w:r w:rsidRPr="00D17334">
              <w:rPr>
                <w:rFonts w:asciiTheme="minorHAnsi" w:hAnsiTheme="minorHAnsi" w:cstheme="minorHAnsi"/>
                <w:iCs/>
                <w:sz w:val="24"/>
                <w:szCs w:val="24"/>
                <w:lang w:eastAsia="pl-PL"/>
              </w:rPr>
              <w:t xml:space="preserve"> - lokale nienadające się do zamieszkania wg standardu krajowego, w warunkach skrajnego przeludnienia;</w:t>
            </w:r>
          </w:p>
          <w:p w14:paraId="6CB82A13" w14:textId="77777777" w:rsidR="00E514B3" w:rsidRPr="00D17334" w:rsidRDefault="00E514B3" w:rsidP="00E514B3">
            <w:pPr>
              <w:pStyle w:val="Akapitzlist"/>
              <w:numPr>
                <w:ilvl w:val="0"/>
                <w:numId w:val="34"/>
              </w:numPr>
              <w:spacing w:after="120"/>
              <w:ind w:left="714" w:hanging="357"/>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niezamieszkujące w lokalu mieszkalnym w rozumieniu przepisów o ochronie praw lokatorów i mieszkaniowym zasobie gminy i niezameldowane na pobyt stały, w rozumieniu przepisów o ewidencji ludności, a także osoby niezamieszkujące w lokalu mieszkalnym i zameldowaną na pobyt stały w lokalu, w którym nie ma możliwości zamieszkania.</w:t>
            </w:r>
          </w:p>
          <w:p w14:paraId="70330A9E"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lang w:eastAsia="pl-PL"/>
              </w:rPr>
              <w:t>Osoby dorosłe mieszkające z rodzicami nie powinny być wykazywane we wskaźniku, chyba że wszystkie te osoby są w kryzysie bezdomności lub mieszkają w nieodpowiednich i niebezpiecznych warunkach.</w:t>
            </w:r>
          </w:p>
          <w:p w14:paraId="712B4901"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 przypadku, gdy bezdomność / wykluczenie z dostępu do mieszkań jest kryterium umożliwiającym udział w danej interwencji (np. grupa docelowa wskazana została we wniosku o dofinansowanie, kryteriach wyboru projektu lub dokumentach programowych), należy dane pozyskiwać bezpośrednio od wszystkich jej uczestników. W pozostałych przypadkach dane osobowe dot. tej cechy nie muszą być zbierane od poszczególnych uczestników. Wskaźnik należy jednak monitorować, </w:t>
            </w:r>
            <w:r w:rsidRPr="00D17334">
              <w:rPr>
                <w:rFonts w:asciiTheme="minorHAnsi" w:hAnsiTheme="minorHAnsi" w:cstheme="minorHAnsi"/>
                <w:iCs/>
                <w:sz w:val="24"/>
                <w:szCs w:val="24"/>
                <w:lang w:eastAsia="pl-PL"/>
              </w:rPr>
              <w:lastRenderedPageBreak/>
              <w:t>nawet w przypadku, gdy powiązane z nim dane osobowe nie są zbierane od uczestników. Beneficjent stosuje wtedy szacunki. Najlepiej, by szacunki dotyczące uczestników bezdomnych / wykluczonych z dostępu do mieszkań w ogólnej liczbie uczestników w podziale na płeć były uzyskiwane za pomocą metod, które można statystycznie uzasadnić. Jeśli nie jest to możliwe, należy wykorzystać tzw. wiarygodne szacunki (różne metody szacowania opisano w załączniku do Wytycznych). Wybraną metodę szacowania należy udokumentować. Uwaga: w danym projekcie może być stosowana wyłącznie jedna metoda monitorowania tego wskaźnika tj. szacowanie lub zbieranie danych osobowych dot. tego wskaźnika od uczestników.</w:t>
            </w:r>
            <w:r w:rsidRPr="00D17334" w:rsidDel="001852A9">
              <w:rPr>
                <w:rFonts w:asciiTheme="minorHAnsi" w:hAnsiTheme="minorHAnsi" w:cstheme="minorHAnsi"/>
                <w:iCs/>
                <w:sz w:val="24"/>
                <w:szCs w:val="24"/>
                <w:lang w:eastAsia="pl-PL"/>
              </w:rPr>
              <w:t xml:space="preserve"> </w:t>
            </w:r>
          </w:p>
          <w:p w14:paraId="249CA413"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Przynależność do grupy osób w kryzysie bezdomności lub dotkniętych wykluczeniem z dostępu do mieszkań określana jest w momencie rozpoczęcia udziału w projekcie, tj. w chwili rozpoczęcia udziału w pierwszej formie wsparcia w projekcie. </w:t>
            </w:r>
          </w:p>
          <w:p w14:paraId="5C9FC374" w14:textId="77777777" w:rsidR="00AE0C8D" w:rsidRDefault="00E514B3" w:rsidP="0042768F">
            <w:pPr>
              <w:spacing w:before="60" w:after="60"/>
              <w:rPr>
                <w:rFonts w:cstheme="minorHAnsi"/>
                <w:iCs/>
                <w:sz w:val="24"/>
                <w:szCs w:val="24"/>
              </w:rPr>
            </w:pPr>
            <w:r w:rsidRPr="00D17334">
              <w:rPr>
                <w:rFonts w:cstheme="minorHAnsi"/>
                <w:iCs/>
                <w:sz w:val="24"/>
                <w:szCs w:val="24"/>
              </w:rPr>
              <w:t>Zasady dotyczące możliwości wykorzystania wiarygodnych szacunków przez beneficjentów w danym naborze określane są przez właściwą dla programu Instytucję Zarządzającą</w:t>
            </w:r>
            <w:r w:rsidR="0042768F">
              <w:rPr>
                <w:rFonts w:cstheme="minorHAnsi"/>
                <w:iCs/>
                <w:sz w:val="24"/>
                <w:szCs w:val="24"/>
              </w:rPr>
              <w:t>.</w:t>
            </w:r>
          </w:p>
          <w:p w14:paraId="54EE0CB8" w14:textId="7165EB3E" w:rsidR="0042768F" w:rsidRPr="00D17334" w:rsidRDefault="0042768F" w:rsidP="0042768F">
            <w:pPr>
              <w:spacing w:before="60" w:after="60"/>
              <w:rPr>
                <w:rFonts w:cstheme="minorHAnsi"/>
                <w:iCs/>
                <w:sz w:val="24"/>
                <w:szCs w:val="24"/>
              </w:rPr>
            </w:pPr>
          </w:p>
        </w:tc>
      </w:tr>
      <w:tr w:rsidR="00E514B3" w:rsidRPr="0042768F" w14:paraId="0CCD9F86" w14:textId="77777777" w:rsidTr="004B7D83">
        <w:trPr>
          <w:trHeight w:val="443"/>
          <w:jc w:val="center"/>
        </w:trPr>
        <w:tc>
          <w:tcPr>
            <w:tcW w:w="15578" w:type="dxa"/>
            <w:gridSpan w:val="7"/>
            <w:tcBorders>
              <w:left w:val="single" w:sz="12" w:space="0" w:color="92D050"/>
              <w:bottom w:val="single" w:sz="12" w:space="0" w:color="92D050"/>
              <w:right w:val="single" w:sz="12" w:space="0" w:color="92D050"/>
            </w:tcBorders>
            <w:vAlign w:val="center"/>
          </w:tcPr>
          <w:p w14:paraId="37A9EBF3" w14:textId="6CBC16BE" w:rsidR="00E514B3" w:rsidRPr="0042768F" w:rsidRDefault="00E514B3" w:rsidP="00E514B3">
            <w:pPr>
              <w:spacing w:before="60" w:after="60"/>
              <w:rPr>
                <w:rFonts w:cstheme="minorHAnsi"/>
                <w:iCs/>
                <w:sz w:val="32"/>
                <w:szCs w:val="32"/>
              </w:rPr>
            </w:pPr>
            <w:r w:rsidRPr="0042768F">
              <w:rPr>
                <w:rFonts w:cstheme="minorHAnsi"/>
                <w:b/>
                <w:iCs/>
                <w:color w:val="0070C0"/>
                <w:sz w:val="32"/>
                <w:szCs w:val="32"/>
              </w:rPr>
              <w:lastRenderedPageBreak/>
              <w:t>Wskaźniki wspólne EFS+</w:t>
            </w:r>
          </w:p>
        </w:tc>
      </w:tr>
      <w:tr w:rsidR="00E514B3" w:rsidRPr="00D17334" w14:paraId="16D036E5" w14:textId="77777777" w:rsidTr="004B7D83">
        <w:trPr>
          <w:trHeight w:val="667"/>
          <w:jc w:val="center"/>
        </w:trPr>
        <w:tc>
          <w:tcPr>
            <w:tcW w:w="836" w:type="dxa"/>
            <w:tcBorders>
              <w:left w:val="single" w:sz="12" w:space="0" w:color="92D050"/>
              <w:bottom w:val="single" w:sz="12" w:space="0" w:color="92D050"/>
            </w:tcBorders>
            <w:vAlign w:val="center"/>
          </w:tcPr>
          <w:p w14:paraId="61C2E5EA" w14:textId="2D4258F9"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w:t>
            </w:r>
          </w:p>
        </w:tc>
        <w:tc>
          <w:tcPr>
            <w:tcW w:w="3260" w:type="dxa"/>
            <w:tcBorders>
              <w:bottom w:val="single" w:sz="12" w:space="0" w:color="92D050"/>
            </w:tcBorders>
            <w:vAlign w:val="center"/>
          </w:tcPr>
          <w:p w14:paraId="0CFB2E6F" w14:textId="30A2021A"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bezrobotnych, w tym długotrwale bezrobotnych, objętych wsparciem w programie </w:t>
            </w:r>
          </w:p>
        </w:tc>
        <w:tc>
          <w:tcPr>
            <w:tcW w:w="1276" w:type="dxa"/>
            <w:tcBorders>
              <w:bottom w:val="single" w:sz="12" w:space="0" w:color="92D050"/>
            </w:tcBorders>
            <w:vAlign w:val="center"/>
          </w:tcPr>
          <w:p w14:paraId="1B31056F" w14:textId="5237783C"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42AA3423" w14:textId="350C7901"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169F0121" w14:textId="3A8AE1B9"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6CFAFD5E" w14:textId="7D023F2F"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tcPr>
          <w:p w14:paraId="67E6F743" w14:textId="77777777" w:rsidR="00E514B3" w:rsidRPr="00D17334" w:rsidRDefault="00E514B3" w:rsidP="00510D4C">
            <w:pPr>
              <w:spacing w:after="120" w:line="259" w:lineRule="auto"/>
              <w:rPr>
                <w:rFonts w:eastAsia="Times New Roman" w:cstheme="minorHAnsi"/>
                <w:iCs/>
                <w:sz w:val="24"/>
                <w:szCs w:val="24"/>
                <w:lang w:eastAsia="pl-PL"/>
              </w:rPr>
            </w:pPr>
            <w:r w:rsidRPr="00D17334">
              <w:rPr>
                <w:rFonts w:eastAsia="Times New Roman" w:cstheme="minorHAnsi"/>
                <w:iCs/>
                <w:sz w:val="24"/>
                <w:szCs w:val="24"/>
                <w:lang w:eastAsia="pl-PL"/>
              </w:rPr>
              <w:t>Osoby pozostające bez pracy, gotowe do podjęcia pracy i aktywnie poszukujące zatrudnienia. Definicja ta uwzględnia wszystkie osoby zarejestrowane jako bezrobotne zgodnie z krajową definicją, nawet jeżeli nie spełniają one wszystkich trzech kryteriów wskazanych wyżej.</w:t>
            </w:r>
          </w:p>
          <w:p w14:paraId="3FBD9686" w14:textId="25D63C1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Osoby kwalifikujące się do urlopu macierzyńskiego lub rodzicielskiego, które są bezrobotne w rozumieniu niniejszej definicji (nie pobierają świadczeń z tytułu urlopu), należy wykazywać również jako osoby bezrobotne.</w:t>
            </w:r>
          </w:p>
          <w:p w14:paraId="43DC4054" w14:textId="3853EF10"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Osoby aktywnie poszukujące zatrudnienia to osoby zarejestrowane jako bezrobotne lub poszukujące pracy w publicznych służbach zatrudnienia (PSZ) lub niezarejestrowane, lecz spełniające powyższe przesłanki. Osoby zarejestrowane jako poszukujące pracy w PSZ należy wliczać do wskaźnika nawet jeśli nie mogą od razu podjąć zatrudnienia.</w:t>
            </w:r>
          </w:p>
          <w:p w14:paraId="5E263938" w14:textId="5828BB56"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 xml:space="preserve">Status na rynku pracy określany jest w dniu rozpoczęcia uczestnictwa w projekcie, tj. w momencie rozpoczęcia udziału w pierwszej formie wsparcia w projekcie. </w:t>
            </w:r>
          </w:p>
          <w:p w14:paraId="7B6E03AA" w14:textId="77777777" w:rsidR="00E514B3" w:rsidRPr="00D17334" w:rsidRDefault="00E514B3" w:rsidP="00510D4C">
            <w:pPr>
              <w:rPr>
                <w:rFonts w:eastAsia="Times New Roman" w:cstheme="minorHAnsi"/>
                <w:iCs/>
                <w:sz w:val="24"/>
                <w:szCs w:val="24"/>
                <w:lang w:eastAsia="pl-PL"/>
              </w:rPr>
            </w:pPr>
            <w:r w:rsidRPr="00D17334">
              <w:rPr>
                <w:rFonts w:eastAsia="Times New Roman" w:cstheme="minorHAnsi"/>
                <w:iCs/>
                <w:sz w:val="24"/>
                <w:szCs w:val="24"/>
                <w:lang w:eastAsia="pl-PL"/>
              </w:rPr>
              <w:t>Informacje dodatkowe:</w:t>
            </w:r>
          </w:p>
          <w:p w14:paraId="0B462FE0" w14:textId="1615AA08" w:rsidR="00E514B3" w:rsidRPr="00D17334" w:rsidRDefault="00E514B3" w:rsidP="00510D4C">
            <w:pPr>
              <w:rPr>
                <w:rFonts w:eastAsia="Times New Roman" w:cstheme="minorHAnsi"/>
                <w:iCs/>
                <w:sz w:val="24"/>
                <w:szCs w:val="24"/>
                <w:lang w:eastAsia="pl-PL"/>
              </w:rPr>
            </w:pPr>
            <w:r w:rsidRPr="00D17334">
              <w:rPr>
                <w:rFonts w:eastAsia="Times New Roman" w:cstheme="minorHAnsi"/>
                <w:iCs/>
                <w:sz w:val="24"/>
                <w:szCs w:val="24"/>
                <w:lang w:eastAsia="pl-PL"/>
              </w:rPr>
              <w:lastRenderedPageBreak/>
              <w:t xml:space="preserve">Osobę w wieku emerytalnym (w tym osobę, która osiągnęła wiek emerytalny, ale nie pobiera świadczeń emerytalnych) oraz osobę pobierającą emeryturę lub rentę, która pozostaje bez pracy, jest gotowa do podjęcia pracy i aktywnie poszukuje zatrudnienia należy traktować jako bezrobotną. </w:t>
            </w:r>
          </w:p>
          <w:p w14:paraId="73D6E9B2" w14:textId="1EA75FDF"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Definicja opracowana na podstawie: (§18) Statystyki polityki rynku pracy – metodologia 2018, Komisja Europejska, Dyrekcja Generalna ds. Zatrudnienia, Spraw Społecznych i Włączenia Społecznego</w:t>
            </w:r>
            <w:r w:rsidRPr="00D17334">
              <w:rPr>
                <w:rFonts w:ascii="Arial" w:hAnsi="Arial" w:cs="Arial"/>
                <w:iCs/>
                <w:sz w:val="24"/>
                <w:szCs w:val="24"/>
                <w:lang w:eastAsia="pl-PL"/>
              </w:rPr>
              <w:t xml:space="preserve">  </w:t>
            </w:r>
          </w:p>
        </w:tc>
      </w:tr>
      <w:tr w:rsidR="00E514B3" w:rsidRPr="00D17334" w14:paraId="1DD969E6" w14:textId="77777777" w:rsidTr="004B7D83">
        <w:trPr>
          <w:trHeight w:val="667"/>
          <w:jc w:val="center"/>
        </w:trPr>
        <w:tc>
          <w:tcPr>
            <w:tcW w:w="836" w:type="dxa"/>
            <w:tcBorders>
              <w:left w:val="single" w:sz="12" w:space="0" w:color="92D050"/>
              <w:bottom w:val="single" w:sz="12" w:space="0" w:color="92D050"/>
            </w:tcBorders>
            <w:vAlign w:val="center"/>
          </w:tcPr>
          <w:p w14:paraId="5B86B458" w14:textId="655C1854"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2.</w:t>
            </w:r>
          </w:p>
        </w:tc>
        <w:tc>
          <w:tcPr>
            <w:tcW w:w="3260" w:type="dxa"/>
            <w:tcBorders>
              <w:bottom w:val="single" w:sz="12" w:space="0" w:color="92D050"/>
            </w:tcBorders>
            <w:vAlign w:val="center"/>
          </w:tcPr>
          <w:p w14:paraId="59C1814A" w14:textId="29959A4C"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długotrwale bezrobotnych objętych wsparciem w programie </w:t>
            </w:r>
          </w:p>
        </w:tc>
        <w:tc>
          <w:tcPr>
            <w:tcW w:w="1276" w:type="dxa"/>
            <w:tcBorders>
              <w:bottom w:val="single" w:sz="12" w:space="0" w:color="92D050"/>
            </w:tcBorders>
            <w:vAlign w:val="center"/>
          </w:tcPr>
          <w:p w14:paraId="6F89CE3E" w14:textId="6B4D0C0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14BA22FA" w14:textId="05D27DA0"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43DC8D70" w14:textId="772A0EF4"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7F2AD980" w14:textId="238CB0CF"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424DCB91" w14:textId="099657E8"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 xml:space="preserve">Osoby długotrwale bezrobotne to osoby bezrobotne pozostające w rejestrze powiatowego urzędu pracy przez okres ponad 12 miesięcy w okresie ostatnich 2 lat, z wyłączeniem okresów odbywania stażu i przygotowania zawodowego dorosłych. Status na rynku pracy jest określany w dniu rozpoczęcia uczestnictwa w projekcie, tj. w momencie rozpoczęcia udziału w pierwszej formie wsparcia w projekcie. </w:t>
            </w:r>
          </w:p>
          <w:p w14:paraId="29E6FF35" w14:textId="3D874607" w:rsidR="00E514B3" w:rsidRPr="00D17334" w:rsidRDefault="00E514B3" w:rsidP="00E514B3">
            <w:pPr>
              <w:spacing w:before="60" w:after="60"/>
              <w:rPr>
                <w:rFonts w:cstheme="minorHAnsi"/>
                <w:iCs/>
                <w:sz w:val="24"/>
                <w:szCs w:val="24"/>
              </w:rPr>
            </w:pPr>
            <w:r w:rsidRPr="00D17334">
              <w:rPr>
                <w:rFonts w:ascii="Calibri" w:eastAsia="Times New Roman" w:hAnsi="Calibri" w:cs="Calibri"/>
                <w:iCs/>
                <w:sz w:val="24"/>
                <w:szCs w:val="24"/>
                <w:lang w:eastAsia="pl-PL"/>
              </w:rPr>
              <w:t>Definicja opracowana na podstawie: ustawa z dnia 20 kwietnia 2004 r. o promocji zatrudnienia i instytucjach rynku pracy</w:t>
            </w:r>
          </w:p>
        </w:tc>
      </w:tr>
      <w:tr w:rsidR="00E514B3" w:rsidRPr="00D17334" w14:paraId="46D4A968" w14:textId="77777777" w:rsidTr="004B7D83">
        <w:trPr>
          <w:trHeight w:val="667"/>
          <w:jc w:val="center"/>
        </w:trPr>
        <w:tc>
          <w:tcPr>
            <w:tcW w:w="836" w:type="dxa"/>
            <w:tcBorders>
              <w:left w:val="single" w:sz="12" w:space="0" w:color="92D050"/>
              <w:bottom w:val="single" w:sz="12" w:space="0" w:color="92D050"/>
            </w:tcBorders>
            <w:vAlign w:val="center"/>
          </w:tcPr>
          <w:p w14:paraId="05FF4D0C" w14:textId="191E407C"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3.</w:t>
            </w:r>
          </w:p>
        </w:tc>
        <w:tc>
          <w:tcPr>
            <w:tcW w:w="3260" w:type="dxa"/>
            <w:tcBorders>
              <w:bottom w:val="single" w:sz="12" w:space="0" w:color="92D050"/>
            </w:tcBorders>
            <w:vAlign w:val="center"/>
          </w:tcPr>
          <w:p w14:paraId="2E3B7324" w14:textId="142E07EE"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Liczba osób biernych zawodowo objętych wsparciem w programie</w:t>
            </w:r>
          </w:p>
        </w:tc>
        <w:tc>
          <w:tcPr>
            <w:tcW w:w="1276" w:type="dxa"/>
            <w:tcBorders>
              <w:bottom w:val="single" w:sz="12" w:space="0" w:color="92D050"/>
            </w:tcBorders>
            <w:vAlign w:val="center"/>
          </w:tcPr>
          <w:p w14:paraId="39BD053E" w14:textId="4295854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237EFB35" w14:textId="7D25D797"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5977F85E" w14:textId="2FCCB8E9"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6A801F5D" w14:textId="5BDEA2A0"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6AC73DD1"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Osoby bierne zawodowo to osoby, które w danej chwili nie tworzą zasobów siły roboczej (tzn. nie są osobami pracującymi ani bezrobotnymi).</w:t>
            </w:r>
            <w:r w:rsidRPr="00D17334">
              <w:rPr>
                <w:rFonts w:ascii="Calibri" w:eastAsia="Times New Roman" w:hAnsi="Calibri" w:cs="Calibri"/>
                <w:iCs/>
                <w:sz w:val="24"/>
                <w:szCs w:val="24"/>
                <w:lang w:eastAsia="pl-PL"/>
              </w:rPr>
              <w:br/>
            </w:r>
          </w:p>
          <w:p w14:paraId="789B78E1"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 xml:space="preserve">Osoby pracujące definiowane są jak we wskaźniku: liczba osób pracujących, łącznie z prowadzącymi </w:t>
            </w:r>
            <w:r w:rsidRPr="00D17334">
              <w:rPr>
                <w:rFonts w:ascii="Calibri" w:eastAsia="Times New Roman" w:hAnsi="Calibri" w:cs="Calibri"/>
                <w:iCs/>
                <w:sz w:val="24"/>
                <w:szCs w:val="24"/>
                <w:lang w:eastAsia="pl-PL"/>
              </w:rPr>
              <w:lastRenderedPageBreak/>
              <w:t>działalność na własny rachunek, objętych wsparciem w programie (osoby).</w:t>
            </w:r>
            <w:r w:rsidRPr="00D17334">
              <w:rPr>
                <w:rFonts w:ascii="Calibri" w:eastAsia="Times New Roman" w:hAnsi="Calibri" w:cs="Calibri"/>
                <w:iCs/>
                <w:sz w:val="24"/>
                <w:szCs w:val="24"/>
                <w:lang w:eastAsia="pl-PL"/>
              </w:rPr>
              <w:br/>
            </w:r>
          </w:p>
          <w:p w14:paraId="7F79369C"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Osoby bezrobotne definiowane jak we wskaźniku: liczba osób bezrobotnych, w tym długotrwale bezrobotnych, objętych wsparciem w programie (osoby).</w:t>
            </w:r>
            <w:r w:rsidRPr="00D17334">
              <w:rPr>
                <w:rFonts w:ascii="Calibri" w:eastAsia="Times New Roman" w:hAnsi="Calibri" w:cs="Calibri"/>
                <w:iCs/>
                <w:sz w:val="24"/>
                <w:szCs w:val="24"/>
                <w:lang w:eastAsia="pl-PL"/>
              </w:rPr>
              <w:br/>
            </w:r>
          </w:p>
          <w:p w14:paraId="68310E02"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Za osoby bierne zawodowo uznawani są m.in.:</w:t>
            </w:r>
          </w:p>
          <w:p w14:paraId="3CF34F00"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studenci studiów stacjonarnych, chyba że są już zatrudnieni (również na część etatu) to wówczas powinni być wykazywani jako osoby pracujące</w:t>
            </w:r>
          </w:p>
          <w:p w14:paraId="5D2A7888"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dzieci i młodzież do 18 r. ż. pobierające naukę, o ile nie spełniają przesłanek, na podstawie których można je zaliczyć do osób bezrobotnych lub pracujących.</w:t>
            </w:r>
          </w:p>
          <w:p w14:paraId="415EE8D3"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doktoranci, którzy nie są zatrudnieni na uczelni, w innej instytucji lub przedsiębiorstwie. W przypadku, gdy doktorant wykonuje obowiązki służbowe, za które otrzymuje wynagrodzenie, lub prowadzi działalność gospodarczą należy traktować go jako osobę pracującą. W przypadku, gdy doktorant jest zarejestrowany jako bezrobotny, należy go wykazywać we wskaźniku dotyczącym osób bezrobotnych.</w:t>
            </w:r>
          </w:p>
          <w:p w14:paraId="7116C44F" w14:textId="77777777" w:rsidR="00E514B3" w:rsidRPr="00D17334" w:rsidRDefault="00E514B3" w:rsidP="00E514B3">
            <w:pPr>
              <w:rPr>
                <w:rFonts w:ascii="Calibri" w:eastAsia="Times New Roman" w:hAnsi="Calibri" w:cs="Calibri"/>
                <w:iCs/>
                <w:sz w:val="24"/>
                <w:szCs w:val="24"/>
                <w:lang w:eastAsia="pl-PL"/>
              </w:rPr>
            </w:pPr>
          </w:p>
          <w:p w14:paraId="11760CDA" w14:textId="77777777" w:rsidR="00E514B3" w:rsidRPr="00D17334" w:rsidRDefault="00E514B3" w:rsidP="00E514B3">
            <w:pPr>
              <w:rPr>
                <w:rFonts w:ascii="Calibri" w:eastAsia="Times New Roman" w:hAnsi="Calibri" w:cs="Calibri"/>
                <w:iCs/>
                <w:sz w:val="24"/>
                <w:szCs w:val="24"/>
                <w:lang w:eastAsia="pl-PL"/>
              </w:rPr>
            </w:pPr>
            <w:r w:rsidRPr="00D17334">
              <w:rPr>
                <w:rFonts w:ascii="Calibri" w:eastAsia="Times New Roman" w:hAnsi="Calibri" w:cs="Calibri"/>
                <w:iCs/>
                <w:sz w:val="24"/>
                <w:szCs w:val="24"/>
                <w:lang w:eastAsia="pl-PL"/>
              </w:rPr>
              <w:t>Status na rynku pracy jest określany w dniu rozpoczęcia uczestnictwa w projekcie, tj. w momencie rozpoczęcia udziału w pierwszej formie wsparcia w projekcie.</w:t>
            </w:r>
          </w:p>
          <w:p w14:paraId="50401E3B" w14:textId="78D7CE4D" w:rsidR="00E514B3" w:rsidRPr="00D17334" w:rsidRDefault="00E514B3" w:rsidP="00E514B3">
            <w:pPr>
              <w:rPr>
                <w:rFonts w:cstheme="minorHAnsi"/>
                <w:iCs/>
                <w:sz w:val="24"/>
                <w:szCs w:val="24"/>
              </w:rPr>
            </w:pPr>
            <w:r w:rsidRPr="00D17334">
              <w:rPr>
                <w:rFonts w:ascii="Calibri" w:eastAsia="Times New Roman" w:hAnsi="Calibri" w:cs="Calibri"/>
                <w:iCs/>
                <w:sz w:val="24"/>
                <w:szCs w:val="24"/>
                <w:lang w:eastAsia="pl-PL"/>
              </w:rPr>
              <w:lastRenderedPageBreak/>
              <w:br/>
              <w:t>Definicja opracowana na podstawie: (§20) Statystyki polityki rynku prac – metodologia 2018, Komisja Europejska, Dyrekcja Generalna ds. Zatrudnienia, Spraw Społecznych i Włączenia Społecznego</w:t>
            </w:r>
          </w:p>
        </w:tc>
      </w:tr>
      <w:tr w:rsidR="00E514B3" w:rsidRPr="00D17334" w14:paraId="689CDC88" w14:textId="77777777" w:rsidTr="004B7D83">
        <w:trPr>
          <w:trHeight w:val="667"/>
          <w:jc w:val="center"/>
        </w:trPr>
        <w:tc>
          <w:tcPr>
            <w:tcW w:w="836" w:type="dxa"/>
            <w:tcBorders>
              <w:left w:val="single" w:sz="12" w:space="0" w:color="92D050"/>
              <w:bottom w:val="single" w:sz="12" w:space="0" w:color="92D050"/>
            </w:tcBorders>
            <w:vAlign w:val="center"/>
          </w:tcPr>
          <w:p w14:paraId="72883285" w14:textId="389C9317"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4.</w:t>
            </w:r>
          </w:p>
        </w:tc>
        <w:tc>
          <w:tcPr>
            <w:tcW w:w="3260" w:type="dxa"/>
            <w:tcBorders>
              <w:bottom w:val="single" w:sz="12" w:space="0" w:color="92D050"/>
            </w:tcBorders>
            <w:vAlign w:val="center"/>
          </w:tcPr>
          <w:p w14:paraId="6E070CE7" w14:textId="7C463BC1"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pracujących, łącznie z prowadzącymi działalność na własny rachunek, objętych wsparciem w programie </w:t>
            </w:r>
          </w:p>
        </w:tc>
        <w:tc>
          <w:tcPr>
            <w:tcW w:w="1276" w:type="dxa"/>
            <w:tcBorders>
              <w:bottom w:val="single" w:sz="12" w:space="0" w:color="92D050"/>
            </w:tcBorders>
            <w:vAlign w:val="center"/>
          </w:tcPr>
          <w:p w14:paraId="1F86EC09" w14:textId="2D6F5C7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1619E153" w14:textId="243A224F"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79E5EEA3" w14:textId="65430092"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0500D9FB" w14:textId="5679D301"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4DA796D8"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Pracujący to osoby w wieku od 15 do 89 lat, które: wykonują pracę, za którą otrzymują wynagrodzenie, z której czerpią zyski lub korzyści rodzinne; osoby posiadające zatrudnienie lub własną działalność, które jednak chwilowo nie pracują (ze względu na np. chorobę, urlop, spór pracowniczy czy kształcenie się lub szkolenie); lub osoby produkujące towary rolne, których główna część przeznaczona jest na sprzedaż lub barter.</w:t>
            </w:r>
            <w:r w:rsidRPr="00D17334">
              <w:rPr>
                <w:rFonts w:eastAsia="Times New Roman" w:cstheme="minorHAnsi"/>
                <w:iCs/>
                <w:sz w:val="24"/>
                <w:szCs w:val="24"/>
                <w:lang w:eastAsia="pl-PL"/>
              </w:rPr>
              <w:br w:type="page"/>
            </w:r>
          </w:p>
          <w:p w14:paraId="3152B2A3"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Za osoby pracujące uznawane są również:</w:t>
            </w:r>
          </w:p>
          <w:p w14:paraId="4C9BECB5" w14:textId="77777777" w:rsidR="00E514B3" w:rsidRPr="00D17334" w:rsidRDefault="00E514B3" w:rsidP="00510D4C">
            <w:pPr>
              <w:pStyle w:val="Akapitzlist"/>
              <w:numPr>
                <w:ilvl w:val="0"/>
                <w:numId w:val="33"/>
              </w:numPr>
              <w:spacing w:after="120"/>
              <w:ind w:left="326"/>
              <w:rPr>
                <w:rFonts w:asciiTheme="minorHAnsi" w:hAnsiTheme="minorHAnsi" w:cstheme="minorHAnsi"/>
                <w:iCs/>
                <w:sz w:val="24"/>
                <w:szCs w:val="24"/>
                <w:lang w:eastAsia="pl-PL"/>
              </w:rPr>
            </w:pPr>
            <w:r w:rsidRPr="00D17334">
              <w:rPr>
                <w:rFonts w:asciiTheme="minorHAnsi" w:hAnsiTheme="minorHAnsi" w:cstheme="minorHAnsi"/>
                <w:iCs/>
                <w:sz w:val="24"/>
                <w:szCs w:val="24"/>
              </w:rPr>
              <w:t>osoby</w:t>
            </w:r>
            <w:r w:rsidRPr="00D17334">
              <w:rPr>
                <w:rFonts w:asciiTheme="minorHAnsi" w:hAnsiTheme="minorHAnsi" w:cstheme="minorHAnsi"/>
                <w:iCs/>
                <w:sz w:val="24"/>
                <w:szCs w:val="24"/>
                <w:lang w:eastAsia="pl-PL"/>
              </w:rPr>
              <w:t xml:space="preserve"> prowadzące działalność na własny rachunek, czyli prowadzące działalność gospodarczą lub działalność nierejestrową (definiowana zgodnie z art. 5 Ustawy z dnia 6 marca 2018 r. Prawo przedsiębiorców), gospodarstwo rolne lub praktykę zawodową, o ile spełniony jest jeden z poniższych warunków:</w:t>
            </w:r>
            <w:r w:rsidRPr="00D17334">
              <w:rPr>
                <w:rFonts w:asciiTheme="minorHAnsi" w:hAnsiTheme="minorHAnsi" w:cstheme="minorHAnsi"/>
                <w:iCs/>
                <w:sz w:val="24"/>
                <w:szCs w:val="24"/>
                <w:lang w:eastAsia="pl-PL"/>
              </w:rPr>
              <w:br w:type="page"/>
            </w:r>
          </w:p>
          <w:p w14:paraId="14D4BF43" w14:textId="77777777" w:rsidR="00E514B3" w:rsidRPr="00D17334" w:rsidRDefault="00E514B3" w:rsidP="00510D4C">
            <w:pPr>
              <w:numPr>
                <w:ilvl w:val="0"/>
                <w:numId w:val="31"/>
              </w:numPr>
              <w:spacing w:after="120"/>
              <w:ind w:left="610" w:hanging="357"/>
              <w:rPr>
                <w:rFonts w:eastAsia="Times New Roman" w:cstheme="minorHAnsi"/>
                <w:iCs/>
                <w:sz w:val="24"/>
                <w:szCs w:val="24"/>
                <w:lang w:eastAsia="pl-PL"/>
              </w:rPr>
            </w:pPr>
            <w:r w:rsidRPr="00D17334">
              <w:rPr>
                <w:rFonts w:eastAsia="Times New Roman" w:cstheme="minorHAnsi"/>
                <w:iCs/>
                <w:sz w:val="24"/>
                <w:szCs w:val="24"/>
                <w:lang w:eastAsia="pl-PL"/>
              </w:rPr>
              <w:t>Osoba pracuje w swojej działalności, praktyce zawodowej lub gospodarstwie rolnym w celu uzyskania dochodu, nawet jeżeli przedsiębiorstwo nie osiąga zysków.</w:t>
            </w:r>
          </w:p>
          <w:p w14:paraId="40BA2935" w14:textId="77777777" w:rsidR="00E514B3" w:rsidRPr="00D17334" w:rsidRDefault="00E514B3" w:rsidP="00510D4C">
            <w:pPr>
              <w:numPr>
                <w:ilvl w:val="0"/>
                <w:numId w:val="31"/>
              </w:numPr>
              <w:spacing w:after="120"/>
              <w:ind w:left="610" w:hanging="357"/>
              <w:rPr>
                <w:rFonts w:eastAsia="Times New Roman" w:cstheme="minorHAnsi"/>
                <w:iCs/>
                <w:sz w:val="24"/>
                <w:szCs w:val="24"/>
                <w:lang w:eastAsia="pl-PL"/>
              </w:rPr>
            </w:pPr>
            <w:r w:rsidRPr="00D17334">
              <w:rPr>
                <w:rFonts w:eastAsia="Times New Roman" w:cstheme="minorHAnsi"/>
                <w:iCs/>
                <w:sz w:val="24"/>
                <w:szCs w:val="24"/>
                <w:lang w:eastAsia="pl-PL"/>
              </w:rPr>
              <w:lastRenderedPageBreak/>
              <w:t>Osoba poświęca czas na prowadzenie działalności gospodarczej, działalności nierejestrowej, praktyki zawodowej czy gospodarstwa rolnego, nawet jeżeli nie zrealizowano żadnej sprzedaży lub usług i nic nie wyprodukowano (na przykład: rolnik wykonujący prace w celu utrzymania swojego gospodarstwa; architekt spędzający czas w oczekiwaniu na klientów w swoim biurze; rybak naprawiający łódź czy siatki rybackie, aby móc dalej pracować; osoby uczestniczące w konferencjach, konwencjach lub seminariach).</w:t>
            </w:r>
          </w:p>
          <w:p w14:paraId="40CBB51D" w14:textId="77777777" w:rsidR="00E514B3" w:rsidRPr="00D17334" w:rsidRDefault="00E514B3" w:rsidP="00510D4C">
            <w:pPr>
              <w:numPr>
                <w:ilvl w:val="0"/>
                <w:numId w:val="31"/>
              </w:numPr>
              <w:spacing w:after="120"/>
              <w:ind w:left="610" w:hanging="357"/>
              <w:rPr>
                <w:rFonts w:eastAsia="Times New Roman" w:cstheme="minorHAnsi"/>
                <w:iCs/>
                <w:sz w:val="24"/>
                <w:szCs w:val="24"/>
                <w:lang w:eastAsia="pl-PL"/>
              </w:rPr>
            </w:pPr>
            <w:r w:rsidRPr="00D17334">
              <w:rPr>
                <w:rFonts w:eastAsia="Times New Roman" w:cstheme="minorHAnsi"/>
                <w:iCs/>
                <w:sz w:val="24"/>
                <w:szCs w:val="24"/>
                <w:lang w:eastAsia="pl-PL"/>
              </w:rPr>
              <w:t>Osoba jest w trakcie zakładania działalności gospodarczej, gospodarstwa rolnego lub praktyki zawodowej; zalicza się do tego zakup lub instalację sprzętu, zamawianie towarów w ramach przygotowań do uruchomienia działalności. Bezpłatnie pomagający członek rodziny uznawany jest za osobę pracującą, jeżeli wykonywaną przez siebie pracą wnosi bezpośredni wkład w działalność gospodarczą, gospodarstwo rolne lub praktykę zawodową będącą w posiadaniu lub prowadzoną przez spokrewnionego członka tego samego gospodarstwa domowego.</w:t>
            </w:r>
          </w:p>
          <w:p w14:paraId="61EFF1B9" w14:textId="77777777" w:rsidR="00E514B3" w:rsidRPr="00D17334" w:rsidRDefault="00E514B3" w:rsidP="00510D4C">
            <w:pPr>
              <w:pStyle w:val="Akapitzlist"/>
              <w:numPr>
                <w:ilvl w:val="0"/>
                <w:numId w:val="33"/>
              </w:numPr>
              <w:spacing w:after="120"/>
              <w:ind w:left="326"/>
              <w:rPr>
                <w:rFonts w:asciiTheme="minorHAnsi" w:hAnsiTheme="minorHAnsi" w:cstheme="minorHAnsi"/>
                <w:iCs/>
                <w:sz w:val="24"/>
                <w:szCs w:val="24"/>
                <w:lang w:eastAsia="pl-PL"/>
              </w:rPr>
            </w:pPr>
            <w:r w:rsidRPr="00D17334">
              <w:rPr>
                <w:rFonts w:asciiTheme="minorHAnsi" w:hAnsiTheme="minorHAnsi" w:cstheme="minorHAnsi"/>
                <w:iCs/>
                <w:sz w:val="24"/>
                <w:szCs w:val="24"/>
              </w:rPr>
              <w:t>bezpłatnie pomagający osobie prowadzącej działalność członek rodziny</w:t>
            </w:r>
            <w:r w:rsidRPr="00D17334">
              <w:rPr>
                <w:rFonts w:asciiTheme="minorHAnsi" w:hAnsiTheme="minorHAnsi" w:cstheme="minorHAnsi"/>
                <w:iCs/>
                <w:sz w:val="24"/>
                <w:szCs w:val="24"/>
                <w:lang w:eastAsia="pl-PL"/>
              </w:rPr>
              <w:t xml:space="preserve"> uznawany jest za </w:t>
            </w:r>
            <w:r w:rsidRPr="00D17334">
              <w:rPr>
                <w:rFonts w:asciiTheme="minorHAnsi" w:hAnsiTheme="minorHAnsi" w:cstheme="minorHAnsi"/>
                <w:iCs/>
                <w:sz w:val="24"/>
                <w:szCs w:val="24"/>
                <w:lang w:eastAsia="pl-PL"/>
              </w:rPr>
              <w:lastRenderedPageBreak/>
              <w:t>„osobę prowadzącą działalność na własny rachunek”.</w:t>
            </w:r>
          </w:p>
          <w:p w14:paraId="4D193E64" w14:textId="77777777" w:rsidR="00E514B3" w:rsidRPr="00D17334" w:rsidRDefault="00E514B3" w:rsidP="00E514B3">
            <w:pPr>
              <w:pStyle w:val="Akapitzlist"/>
              <w:numPr>
                <w:ilvl w:val="0"/>
                <w:numId w:val="32"/>
              </w:numPr>
              <w:spacing w:after="120"/>
              <w:ind w:left="326"/>
              <w:rPr>
                <w:rFonts w:asciiTheme="minorHAnsi" w:hAnsiTheme="minorHAnsi" w:cstheme="minorHAnsi"/>
                <w:iCs/>
                <w:sz w:val="24"/>
                <w:szCs w:val="24"/>
                <w:lang w:eastAsia="pl-PL"/>
              </w:rPr>
            </w:pPr>
            <w:r w:rsidRPr="00D17334">
              <w:rPr>
                <w:rFonts w:asciiTheme="minorHAnsi" w:hAnsiTheme="minorHAnsi" w:cstheme="minorHAnsi"/>
                <w:iCs/>
                <w:sz w:val="24"/>
                <w:szCs w:val="24"/>
              </w:rPr>
              <w:t>osoby przebywające na urlopie macierzyńskim/ rodzicielskim/ wychowawczym</w:t>
            </w:r>
            <w:r w:rsidRPr="00D17334">
              <w:rPr>
                <w:rFonts w:asciiTheme="minorHAnsi" w:hAnsiTheme="minorHAnsi" w:cstheme="minorHAnsi"/>
                <w:iCs/>
                <w:sz w:val="24"/>
                <w:szCs w:val="24"/>
                <w:lang w:eastAsia="pl-PL"/>
              </w:rPr>
              <w:t xml:space="preserve"> (którego warunki są uregulowane w Kodeksie Pracy), chyba że są zarejestrowane już jako bezrobotne (wówczas status bezrobotnego ma pierwszeństwo),</w:t>
            </w:r>
          </w:p>
          <w:p w14:paraId="5C7B69A7" w14:textId="77777777" w:rsidR="00E514B3" w:rsidRPr="00D17334" w:rsidRDefault="00E514B3" w:rsidP="00E514B3">
            <w:pPr>
              <w:pStyle w:val="Akapitzlist"/>
              <w:numPr>
                <w:ilvl w:val="0"/>
                <w:numId w:val="32"/>
              </w:numPr>
              <w:spacing w:after="120"/>
              <w:ind w:left="326"/>
              <w:jc w:val="both"/>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studenci, którzy są zatrudnieni lub prowadzą działalność gospodarczą</w:t>
            </w:r>
          </w:p>
          <w:p w14:paraId="05911805" w14:textId="77777777" w:rsidR="00E514B3" w:rsidRPr="00D17334" w:rsidRDefault="00E514B3" w:rsidP="00E514B3">
            <w:pPr>
              <w:pStyle w:val="Akapitzlist"/>
              <w:numPr>
                <w:ilvl w:val="0"/>
                <w:numId w:val="32"/>
              </w:numPr>
              <w:spacing w:after="120"/>
              <w:ind w:left="326"/>
              <w:jc w:val="both"/>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skierowane do odbycia zatrudnienia subsydiowanego.</w:t>
            </w:r>
          </w:p>
          <w:p w14:paraId="2A531DF5" w14:textId="77777777" w:rsidR="00E514B3" w:rsidRPr="00D17334" w:rsidRDefault="00E514B3" w:rsidP="00E514B3">
            <w:pPr>
              <w:spacing w:after="120"/>
              <w:jc w:val="both"/>
              <w:rPr>
                <w:rFonts w:eastAsia="Times New Roman" w:cstheme="minorHAnsi"/>
                <w:iCs/>
                <w:sz w:val="24"/>
                <w:szCs w:val="24"/>
                <w:lang w:eastAsia="pl-PL"/>
              </w:rPr>
            </w:pPr>
            <w:r w:rsidRPr="00D17334">
              <w:rPr>
                <w:rFonts w:eastAsia="Times New Roman" w:cstheme="minorHAnsi"/>
                <w:iCs/>
                <w:sz w:val="24"/>
                <w:szCs w:val="24"/>
                <w:lang w:eastAsia="pl-PL"/>
              </w:rPr>
              <w:t>Definicja opracowana na podstawie: Eurostat, badanie aktywności ekonomicznej ludności (BAEL).</w:t>
            </w:r>
          </w:p>
          <w:p w14:paraId="0CB721EB" w14:textId="51B104F0"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Status na rynku pracy jest określany w dniu rozpoczęcia uczestnictwa w projekcie, tj. w momencie rozpoczęcia udziału w pierwszej formie wsparcia w projekcie.</w:t>
            </w:r>
          </w:p>
        </w:tc>
      </w:tr>
      <w:tr w:rsidR="00E514B3" w:rsidRPr="00D17334" w14:paraId="09F80042" w14:textId="77777777" w:rsidTr="004B7D83">
        <w:trPr>
          <w:trHeight w:val="667"/>
          <w:jc w:val="center"/>
        </w:trPr>
        <w:tc>
          <w:tcPr>
            <w:tcW w:w="836" w:type="dxa"/>
            <w:tcBorders>
              <w:left w:val="single" w:sz="12" w:space="0" w:color="92D050"/>
              <w:bottom w:val="single" w:sz="12" w:space="0" w:color="92D050"/>
            </w:tcBorders>
            <w:vAlign w:val="center"/>
          </w:tcPr>
          <w:p w14:paraId="4F1AC543" w14:textId="10C9B4E7"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5.</w:t>
            </w:r>
          </w:p>
        </w:tc>
        <w:tc>
          <w:tcPr>
            <w:tcW w:w="3260" w:type="dxa"/>
            <w:tcBorders>
              <w:bottom w:val="single" w:sz="12" w:space="0" w:color="92D050"/>
            </w:tcBorders>
            <w:vAlign w:val="center"/>
          </w:tcPr>
          <w:p w14:paraId="510E68D1" w14:textId="5AD9A3C0"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w wieku poniżej 18 lat objętych wsparciem w programie </w:t>
            </w:r>
          </w:p>
        </w:tc>
        <w:tc>
          <w:tcPr>
            <w:tcW w:w="1276" w:type="dxa"/>
            <w:tcBorders>
              <w:bottom w:val="single" w:sz="12" w:space="0" w:color="92D050"/>
            </w:tcBorders>
            <w:vAlign w:val="center"/>
          </w:tcPr>
          <w:p w14:paraId="30D7ECB9" w14:textId="6A6BE067"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66A14408" w14:textId="478CBF96"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53BBC40B" w14:textId="7D9EB41B"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655CAB5E" w14:textId="4C706F1D"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41059818" w14:textId="77777777" w:rsidR="00E514B3" w:rsidRPr="00D17334" w:rsidRDefault="00E514B3" w:rsidP="00E514B3">
            <w:pPr>
              <w:pStyle w:val="Akapitzlist"/>
              <w:spacing w:after="120"/>
              <w:ind w:left="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w wieku poniżej 18 lat, tj. do dnia poprzedzającego dzień 18 urodzin, objęte wsparciem EFS+.</w:t>
            </w:r>
            <w:r w:rsidRPr="00D17334">
              <w:rPr>
                <w:rFonts w:asciiTheme="minorHAnsi" w:hAnsiTheme="minorHAnsi" w:cstheme="minorHAnsi"/>
                <w:iCs/>
                <w:sz w:val="24"/>
                <w:szCs w:val="24"/>
                <w:lang w:eastAsia="pl-PL"/>
              </w:rPr>
              <w:br w:type="page"/>
            </w:r>
          </w:p>
          <w:p w14:paraId="2F271907" w14:textId="0EA89714"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Wiek uczestników określany jest na podstawie daty urodzenia (dzień, miesiąc, rok) i ustalany w dniu rozpoczęcia udziału w projekcie, tj. w momencie rozpoczęcia udziału w pierwszej formie wsparcia w projekcie.</w:t>
            </w:r>
            <w:r w:rsidRPr="00D17334">
              <w:rPr>
                <w:rFonts w:eastAsia="Times New Roman" w:cstheme="minorHAnsi"/>
                <w:iCs/>
                <w:sz w:val="24"/>
                <w:szCs w:val="24"/>
                <w:lang w:eastAsia="pl-PL"/>
              </w:rPr>
              <w:br w:type="page"/>
            </w:r>
          </w:p>
        </w:tc>
      </w:tr>
      <w:tr w:rsidR="00E514B3" w:rsidRPr="00D17334" w14:paraId="2BB49BFA" w14:textId="77777777" w:rsidTr="004B7D83">
        <w:trPr>
          <w:trHeight w:val="667"/>
          <w:jc w:val="center"/>
        </w:trPr>
        <w:tc>
          <w:tcPr>
            <w:tcW w:w="836" w:type="dxa"/>
            <w:tcBorders>
              <w:left w:val="single" w:sz="12" w:space="0" w:color="92D050"/>
              <w:bottom w:val="single" w:sz="12" w:space="0" w:color="92D050"/>
            </w:tcBorders>
            <w:vAlign w:val="center"/>
          </w:tcPr>
          <w:p w14:paraId="5403A5A9" w14:textId="252DC548"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6.</w:t>
            </w:r>
          </w:p>
        </w:tc>
        <w:tc>
          <w:tcPr>
            <w:tcW w:w="3260" w:type="dxa"/>
            <w:tcBorders>
              <w:bottom w:val="single" w:sz="12" w:space="0" w:color="92D050"/>
            </w:tcBorders>
            <w:vAlign w:val="center"/>
          </w:tcPr>
          <w:p w14:paraId="2AF71E3C" w14:textId="0267D633"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w wieku 18-29 lat objętych wsparciem w programie </w:t>
            </w:r>
          </w:p>
        </w:tc>
        <w:tc>
          <w:tcPr>
            <w:tcW w:w="1276" w:type="dxa"/>
            <w:tcBorders>
              <w:bottom w:val="single" w:sz="12" w:space="0" w:color="92D050"/>
            </w:tcBorders>
            <w:vAlign w:val="center"/>
          </w:tcPr>
          <w:p w14:paraId="654FB577" w14:textId="64911075"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3DF195FC" w14:textId="2C313F9C"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7813B2C5" w14:textId="78620BC0"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26BE21AF" w14:textId="6469BAE9"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3AAF3A60"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w wieku między 18 a 29 rokiem życia, tj. od dnia, w którym przypadają 18 urodziny do dnia poprzedzającego 30 urodziny, objęte wsparciem EFS+.</w:t>
            </w:r>
            <w:r w:rsidRPr="00D17334">
              <w:rPr>
                <w:rFonts w:asciiTheme="minorHAnsi" w:hAnsiTheme="minorHAnsi" w:cstheme="minorHAnsi"/>
                <w:iCs/>
                <w:sz w:val="24"/>
                <w:szCs w:val="24"/>
                <w:lang w:eastAsia="pl-PL"/>
              </w:rPr>
              <w:br w:type="page"/>
            </w:r>
          </w:p>
          <w:p w14:paraId="671F02A0" w14:textId="6F5F559B"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Wiek uczestników określany jest na podstawie daty urodzenia (dzień, miesiąc, rok) i ustalany w dniu rozpoczęcia udziału w projekcie, tj. w momencie rozpoczęcia udziału w pierwszej formie wsparcia w projekcie.</w:t>
            </w:r>
            <w:r w:rsidRPr="00D17334">
              <w:rPr>
                <w:rFonts w:eastAsia="Times New Roman" w:cstheme="minorHAnsi"/>
                <w:iCs/>
                <w:sz w:val="24"/>
                <w:szCs w:val="24"/>
                <w:lang w:eastAsia="pl-PL"/>
              </w:rPr>
              <w:br w:type="page"/>
            </w:r>
          </w:p>
        </w:tc>
      </w:tr>
      <w:tr w:rsidR="00E514B3" w:rsidRPr="00D17334" w14:paraId="7CAED2A7" w14:textId="77777777" w:rsidTr="004B7D83">
        <w:trPr>
          <w:trHeight w:val="667"/>
          <w:jc w:val="center"/>
        </w:trPr>
        <w:tc>
          <w:tcPr>
            <w:tcW w:w="836" w:type="dxa"/>
            <w:tcBorders>
              <w:left w:val="single" w:sz="12" w:space="0" w:color="92D050"/>
              <w:bottom w:val="single" w:sz="12" w:space="0" w:color="92D050"/>
            </w:tcBorders>
            <w:vAlign w:val="center"/>
          </w:tcPr>
          <w:p w14:paraId="521B50F5" w14:textId="67F619F2"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7.</w:t>
            </w:r>
          </w:p>
        </w:tc>
        <w:tc>
          <w:tcPr>
            <w:tcW w:w="3260" w:type="dxa"/>
            <w:tcBorders>
              <w:bottom w:val="single" w:sz="12" w:space="0" w:color="92D050"/>
            </w:tcBorders>
            <w:vAlign w:val="center"/>
          </w:tcPr>
          <w:p w14:paraId="7CFDAB2E" w14:textId="66EFF6B9"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w wieku 55 lat i więcej objętych wsparciem w programie </w:t>
            </w:r>
          </w:p>
        </w:tc>
        <w:tc>
          <w:tcPr>
            <w:tcW w:w="1276" w:type="dxa"/>
            <w:tcBorders>
              <w:bottom w:val="single" w:sz="12" w:space="0" w:color="92D050"/>
            </w:tcBorders>
            <w:vAlign w:val="center"/>
          </w:tcPr>
          <w:p w14:paraId="2A9CFE4C" w14:textId="1ED9058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63D46361" w14:textId="06B4E7BB"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65F55BCC" w14:textId="652A9772"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10CF9FF7" w14:textId="2E00D831"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7E896CD3"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w wieku 55 lat i więcej, tj. od dnia, w którym przypadają 55 urodziny, objęte wsparciem EFS+.</w:t>
            </w:r>
          </w:p>
          <w:p w14:paraId="08388E11" w14:textId="7920E438"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Wiek uczestników określany jest na podstawie daty urodzenia (dzień, miesiąc, rok) i ustalany w dniu rozpoczęcia udziału w projekcie, tj. w momencie rozpoczęcia udziału w pierwszej formie wsparcia w projekcie.</w:t>
            </w:r>
          </w:p>
        </w:tc>
      </w:tr>
      <w:tr w:rsidR="00E514B3" w:rsidRPr="00D17334" w14:paraId="00AC2DAA" w14:textId="77777777" w:rsidTr="004B7D83">
        <w:trPr>
          <w:trHeight w:val="667"/>
          <w:jc w:val="center"/>
        </w:trPr>
        <w:tc>
          <w:tcPr>
            <w:tcW w:w="836" w:type="dxa"/>
            <w:tcBorders>
              <w:left w:val="single" w:sz="12" w:space="0" w:color="92D050"/>
              <w:bottom w:val="single" w:sz="12" w:space="0" w:color="92D050"/>
            </w:tcBorders>
            <w:vAlign w:val="center"/>
          </w:tcPr>
          <w:p w14:paraId="20D7F110" w14:textId="674E3AFE"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8.</w:t>
            </w:r>
          </w:p>
        </w:tc>
        <w:tc>
          <w:tcPr>
            <w:tcW w:w="3260" w:type="dxa"/>
            <w:tcBorders>
              <w:bottom w:val="single" w:sz="12" w:space="0" w:color="92D050"/>
            </w:tcBorders>
            <w:vAlign w:val="center"/>
          </w:tcPr>
          <w:p w14:paraId="1747AA43" w14:textId="7051F537"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z wykształceniem co najwyżej średnim I stopnia (ISCED 0-2) objętych wsparciem w ramach programu </w:t>
            </w:r>
          </w:p>
        </w:tc>
        <w:tc>
          <w:tcPr>
            <w:tcW w:w="1276" w:type="dxa"/>
            <w:tcBorders>
              <w:bottom w:val="single" w:sz="12" w:space="0" w:color="92D050"/>
            </w:tcBorders>
            <w:vAlign w:val="center"/>
          </w:tcPr>
          <w:p w14:paraId="335B8FB4" w14:textId="13394149"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5AA4AB2E" w14:textId="168A3C34"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7A47E5CA" w14:textId="50345096"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33476DAB" w14:textId="02045F17"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0CB05284"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których najwyższy osiągnięty poziom wykształcenia to wykształcenie gimnazjalne lub podstawowe (8 klas szkoły podstawowej) (poziom ISCED 0-2) zgodnie z Międzynarodową Standardową Klasyfikacją Kształcenia UNESCO, tj. osoby uczestniczące we wczesnej edukacji (ISCED 0), osoby, które uczestniczą lub zakończyły edukację najwyżej na poziomie podstawowym (ISCED 1-2) i osoby, które zakończyły edukację najwyżej na poziomie gimnazjalnym (ISCED 2), a także osoby, które nie osiągnęły żadnego poziomu wykształcenia (ISCED 0).</w:t>
            </w:r>
          </w:p>
          <w:p w14:paraId="635A4008"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lastRenderedPageBreak/>
              <w:t>Stopień uzyskanego wykształcenia jest określany w dniu rozpoczęcia uczestnictwa w projekcie, tj. w momencie rozpoczęcia udziału w pierwszej formie wsparcia w projekcie.</w:t>
            </w:r>
          </w:p>
          <w:p w14:paraId="185767F2"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Osoby przystępujące do projektu należy wykazać tylko raz uwzględniając najwyższy ukończony poziom ISCED</w:t>
            </w:r>
          </w:p>
          <w:p w14:paraId="5647198E" w14:textId="6C3B7E1C" w:rsidR="00E514B3" w:rsidRPr="00D17334" w:rsidRDefault="00E514B3" w:rsidP="00510D4C">
            <w:pPr>
              <w:spacing w:before="60" w:after="60"/>
              <w:rPr>
                <w:rFonts w:cstheme="minorHAnsi"/>
                <w:iCs/>
                <w:sz w:val="24"/>
                <w:szCs w:val="24"/>
              </w:rPr>
            </w:pPr>
            <w:r w:rsidRPr="00D17334">
              <w:rPr>
                <w:rFonts w:eastAsia="Times New Roman" w:cstheme="minorHAnsi"/>
                <w:iCs/>
                <w:sz w:val="24"/>
                <w:szCs w:val="24"/>
                <w:lang w:eastAsia="pl-PL"/>
              </w:rPr>
              <w:t xml:space="preserve">Definicje na podstawie: ISCED 2011 (UNESCO) </w:t>
            </w:r>
            <w:r w:rsidRPr="00D17334">
              <w:rPr>
                <w:rFonts w:eastAsia="Times New Roman" w:cstheme="minorHAnsi"/>
                <w:iCs/>
                <w:sz w:val="24"/>
                <w:szCs w:val="24"/>
                <w:lang w:eastAsia="pl-PL"/>
              </w:rPr>
              <w:br/>
            </w:r>
            <w:hyperlink r:id="rId9" w:history="1">
              <w:r w:rsidRPr="00D17334">
                <w:rPr>
                  <w:rStyle w:val="Hipercze"/>
                  <w:rFonts w:cstheme="minorHAnsi"/>
                  <w:iCs/>
                  <w:sz w:val="24"/>
                  <w:szCs w:val="24"/>
                </w:rPr>
                <w:t>http://www.uis.unesco.org/Education/Documents/UNESCO_GC_36C-19_ISCED_EN.pdf</w:t>
              </w:r>
            </w:hyperlink>
          </w:p>
        </w:tc>
      </w:tr>
      <w:tr w:rsidR="00E514B3" w:rsidRPr="00D17334" w14:paraId="74366DB0" w14:textId="77777777" w:rsidTr="004B7D83">
        <w:trPr>
          <w:trHeight w:val="667"/>
          <w:jc w:val="center"/>
        </w:trPr>
        <w:tc>
          <w:tcPr>
            <w:tcW w:w="836" w:type="dxa"/>
            <w:tcBorders>
              <w:left w:val="single" w:sz="12" w:space="0" w:color="92D050"/>
              <w:bottom w:val="single" w:sz="12" w:space="0" w:color="92D050"/>
            </w:tcBorders>
            <w:vAlign w:val="center"/>
          </w:tcPr>
          <w:p w14:paraId="6718CB57" w14:textId="3F3A198F"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9.</w:t>
            </w:r>
          </w:p>
        </w:tc>
        <w:tc>
          <w:tcPr>
            <w:tcW w:w="3260" w:type="dxa"/>
            <w:tcBorders>
              <w:bottom w:val="single" w:sz="12" w:space="0" w:color="92D050"/>
            </w:tcBorders>
            <w:vAlign w:val="center"/>
          </w:tcPr>
          <w:p w14:paraId="3D3DB600" w14:textId="7318AFFA"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z wykształceniem na poziomie średnim II stopnia (ISCED 3) lub na poziomie policealnym (ISCED 4) objętych wsparciem w ramach programu </w:t>
            </w:r>
          </w:p>
        </w:tc>
        <w:tc>
          <w:tcPr>
            <w:tcW w:w="1276" w:type="dxa"/>
            <w:tcBorders>
              <w:bottom w:val="single" w:sz="12" w:space="0" w:color="92D050"/>
            </w:tcBorders>
            <w:vAlign w:val="center"/>
          </w:tcPr>
          <w:p w14:paraId="037BFF56" w14:textId="152407B4"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46FF37D8" w14:textId="22483DDD"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480E3CC0" w14:textId="487A06F9"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653D5F13" w14:textId="0C6A676F"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2F829D29"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których najwyższy osiągnięty poziom wykształcenia to wykształcenie średnie II stopnia – czyli ponadgimnazjalne lub ponadpodstawowe (poziom ISCED 3) albo wykształcenie policealne (ISCED 4) zgodnie z Międzynarodową Standardową Klasyfikacją Kształcenia UNESCO:</w:t>
            </w:r>
          </w:p>
          <w:p w14:paraId="40D40928"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Stopień uzyskanego wykształcenia jest określany w dniu rozpoczęcia uczestnictwa w projekcie, tj. w momencie rozpoczęcia udziału w pierwszej formie wsparcia w projekcie.</w:t>
            </w:r>
            <w:r w:rsidRPr="00D17334">
              <w:rPr>
                <w:rFonts w:asciiTheme="minorHAnsi" w:hAnsiTheme="minorHAnsi" w:cstheme="minorHAnsi"/>
                <w:iCs/>
                <w:sz w:val="24"/>
                <w:szCs w:val="24"/>
                <w:lang w:eastAsia="pl-PL"/>
              </w:rPr>
              <w:br w:type="page"/>
            </w:r>
          </w:p>
          <w:p w14:paraId="21702684"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przystępujące do projektu należy wykazać tylko raz uwzględniając najwyższy ukończony poziom ISCED.</w:t>
            </w:r>
          </w:p>
          <w:p w14:paraId="7E75471F" w14:textId="0D7D88C0"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 xml:space="preserve">Definicje na podstawie: ISCED 2011 (UNESCO) </w:t>
            </w:r>
            <w:r w:rsidRPr="00D17334">
              <w:rPr>
                <w:rFonts w:eastAsia="Times New Roman" w:cstheme="minorHAnsi"/>
                <w:iCs/>
                <w:sz w:val="24"/>
                <w:szCs w:val="24"/>
                <w:lang w:eastAsia="pl-PL"/>
              </w:rPr>
              <w:br/>
            </w:r>
            <w:hyperlink r:id="rId10" w:history="1">
              <w:r w:rsidRPr="00D17334">
                <w:rPr>
                  <w:rStyle w:val="Hipercze"/>
                  <w:rFonts w:eastAsia="Times New Roman" w:cstheme="minorHAnsi"/>
                  <w:iCs/>
                  <w:sz w:val="24"/>
                  <w:szCs w:val="24"/>
                  <w:lang w:eastAsia="pl-PL"/>
                </w:rPr>
                <w:t xml:space="preserve">http://uis.unesco.org/sites/default/files/documents/international-standard-classification-of-education-isced-2011-en.pdf </w:t>
              </w:r>
            </w:hyperlink>
          </w:p>
        </w:tc>
      </w:tr>
      <w:tr w:rsidR="00E514B3" w:rsidRPr="00D17334" w14:paraId="765074D7" w14:textId="77777777" w:rsidTr="004B7D83">
        <w:trPr>
          <w:trHeight w:val="667"/>
          <w:jc w:val="center"/>
        </w:trPr>
        <w:tc>
          <w:tcPr>
            <w:tcW w:w="836" w:type="dxa"/>
            <w:tcBorders>
              <w:left w:val="single" w:sz="12" w:space="0" w:color="92D050"/>
              <w:bottom w:val="single" w:sz="12" w:space="0" w:color="92D050"/>
            </w:tcBorders>
            <w:vAlign w:val="center"/>
          </w:tcPr>
          <w:p w14:paraId="69D5CD2F" w14:textId="32F36362"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10.</w:t>
            </w:r>
          </w:p>
        </w:tc>
        <w:tc>
          <w:tcPr>
            <w:tcW w:w="3260" w:type="dxa"/>
            <w:tcBorders>
              <w:bottom w:val="single" w:sz="12" w:space="0" w:color="92D050"/>
            </w:tcBorders>
            <w:vAlign w:val="center"/>
          </w:tcPr>
          <w:p w14:paraId="4A2D6DCC" w14:textId="282EF64F"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z wykształceniem wyższym (ISCED 5-8) objętych wsparciem w ramach programu </w:t>
            </w:r>
          </w:p>
        </w:tc>
        <w:tc>
          <w:tcPr>
            <w:tcW w:w="1276" w:type="dxa"/>
            <w:tcBorders>
              <w:bottom w:val="single" w:sz="12" w:space="0" w:color="92D050"/>
            </w:tcBorders>
            <w:vAlign w:val="center"/>
          </w:tcPr>
          <w:p w14:paraId="4BDA1043" w14:textId="2CABF4FD"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07AEBC6D" w14:textId="5BE261E7"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557F4C28" w14:textId="16D2CC83"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0F997AF8" w14:textId="2FFC7F27"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1B618611"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których najwyższy poziom wykształcenia to wykształcenie wyższe</w:t>
            </w:r>
            <w:r w:rsidRPr="00D17334" w:rsidDel="001C0637">
              <w:rPr>
                <w:rFonts w:asciiTheme="minorHAnsi" w:hAnsiTheme="minorHAnsi" w:cstheme="minorHAnsi"/>
                <w:iCs/>
                <w:sz w:val="24"/>
                <w:szCs w:val="24"/>
                <w:lang w:eastAsia="pl-PL"/>
              </w:rPr>
              <w:t xml:space="preserve"> </w:t>
            </w:r>
            <w:r w:rsidRPr="00D17334">
              <w:rPr>
                <w:rFonts w:asciiTheme="minorHAnsi" w:hAnsiTheme="minorHAnsi" w:cstheme="minorHAnsi"/>
                <w:iCs/>
                <w:sz w:val="24"/>
                <w:szCs w:val="24"/>
                <w:lang w:eastAsia="pl-PL"/>
              </w:rPr>
              <w:t>(poziom ISCED 5-8) zgodnie z Międzynarodową Standardową Klasyfikacją Kształcenia UNESCO, rozpoczynając na ukończonych studiach krótkiego cyklu (ISCED 5), przez studia licencjackie i ich odpowiedniki (ISCED 6), studia magisterskie i ich odpowiedniki (ISCED 7) aż po studia doktoranckie i ich odpowiedniki (ISCED 8).</w:t>
            </w:r>
          </w:p>
          <w:p w14:paraId="0760EE8E"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Stopień uzyskanego wykształcenia jest określany w dniu rozpoczęcia uczestnictwa w projekcie, tj. w momencie rozpoczęcia udziału w pierwszej formie wsparcia w projekcie.</w:t>
            </w:r>
          </w:p>
          <w:p w14:paraId="2CAC6FCA" w14:textId="77777777" w:rsidR="00E514B3" w:rsidRPr="00D17334" w:rsidRDefault="00E514B3" w:rsidP="00E514B3">
            <w:pPr>
              <w:pStyle w:val="Akapitzlist"/>
              <w:spacing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br w:type="page"/>
              <w:t xml:space="preserve">Osoby przystępujące do projektu należy wykazać tylko raz uwzględniając najwyższy ukończony poziom ISCED. </w:t>
            </w:r>
          </w:p>
          <w:p w14:paraId="0E0F26CE" w14:textId="6E4966AE"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 xml:space="preserve">Definicje na podstawie: ISCED 2011 (UNESCO) </w:t>
            </w:r>
            <w:r w:rsidRPr="00D17334">
              <w:rPr>
                <w:rFonts w:eastAsia="Times New Roman" w:cstheme="minorHAnsi"/>
                <w:iCs/>
                <w:sz w:val="24"/>
                <w:szCs w:val="24"/>
                <w:lang w:eastAsia="pl-PL"/>
              </w:rPr>
              <w:br w:type="page"/>
            </w:r>
            <w:hyperlink r:id="rId11" w:history="1">
              <w:r w:rsidRPr="00D17334">
                <w:rPr>
                  <w:rStyle w:val="Hipercze"/>
                  <w:rFonts w:cstheme="minorHAnsi"/>
                  <w:iCs/>
                  <w:sz w:val="24"/>
                  <w:szCs w:val="24"/>
                </w:rPr>
                <w:t>http://www.uis.unesco.org/Education/Documents/UNESCO_GC_36C-19_ISCED_EN.pdf</w:t>
              </w:r>
            </w:hyperlink>
          </w:p>
        </w:tc>
      </w:tr>
      <w:tr w:rsidR="00E514B3" w:rsidRPr="00D17334" w14:paraId="7E554200" w14:textId="77777777" w:rsidTr="004B7D83">
        <w:trPr>
          <w:trHeight w:val="667"/>
          <w:jc w:val="center"/>
        </w:trPr>
        <w:tc>
          <w:tcPr>
            <w:tcW w:w="836" w:type="dxa"/>
            <w:tcBorders>
              <w:left w:val="single" w:sz="12" w:space="0" w:color="92D050"/>
              <w:bottom w:val="single" w:sz="12" w:space="0" w:color="92D050"/>
            </w:tcBorders>
            <w:vAlign w:val="center"/>
          </w:tcPr>
          <w:p w14:paraId="6D925E4D" w14:textId="0A256D64"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11.</w:t>
            </w:r>
          </w:p>
        </w:tc>
        <w:tc>
          <w:tcPr>
            <w:tcW w:w="3260" w:type="dxa"/>
            <w:tcBorders>
              <w:bottom w:val="single" w:sz="12" w:space="0" w:color="92D050"/>
            </w:tcBorders>
            <w:vAlign w:val="center"/>
          </w:tcPr>
          <w:p w14:paraId="2338A9BC" w14:textId="77F6ADC2"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z niepełnosprawnościami objętych wsparciem w programie </w:t>
            </w:r>
          </w:p>
        </w:tc>
        <w:tc>
          <w:tcPr>
            <w:tcW w:w="1276" w:type="dxa"/>
            <w:tcBorders>
              <w:bottom w:val="single" w:sz="12" w:space="0" w:color="92D050"/>
            </w:tcBorders>
            <w:vAlign w:val="center"/>
          </w:tcPr>
          <w:p w14:paraId="4FD44B37" w14:textId="4D74DF64"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1E56667B" w14:textId="17AAE78E"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73A64CEE" w14:textId="1281FF77"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4DE234E8" w14:textId="203239A5"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7A14783A" w14:textId="33D5F692" w:rsidR="00E514B3" w:rsidRPr="00D17334" w:rsidRDefault="00E514B3" w:rsidP="00E514B3">
            <w:pPr>
              <w:spacing w:before="60" w:after="60"/>
              <w:rPr>
                <w:rFonts w:cstheme="minorHAnsi"/>
                <w:iCs/>
                <w:sz w:val="24"/>
                <w:szCs w:val="24"/>
              </w:rPr>
            </w:pPr>
            <w:r w:rsidRPr="00D17334">
              <w:rPr>
                <w:rFonts w:cstheme="minorHAnsi"/>
                <w:iCs/>
                <w:sz w:val="24"/>
                <w:szCs w:val="24"/>
              </w:rPr>
              <w:t xml:space="preserve">Definicja jak we wskaźniku </w:t>
            </w:r>
            <w:r w:rsidR="000A4100">
              <w:rPr>
                <w:rFonts w:cstheme="minorHAnsi"/>
                <w:iCs/>
                <w:sz w:val="24"/>
                <w:szCs w:val="24"/>
              </w:rPr>
              <w:t xml:space="preserve">horyzontalnym - </w:t>
            </w:r>
            <w:r w:rsidRPr="00D17334">
              <w:rPr>
                <w:rFonts w:cstheme="minorHAnsi"/>
                <w:iCs/>
                <w:sz w:val="24"/>
                <w:szCs w:val="24"/>
              </w:rPr>
              <w:t>mierzonym we wszystkich celach</w:t>
            </w:r>
            <w:r w:rsidR="00FB58E0">
              <w:rPr>
                <w:rFonts w:cstheme="minorHAnsi"/>
                <w:iCs/>
                <w:sz w:val="24"/>
                <w:szCs w:val="24"/>
              </w:rPr>
              <w:t xml:space="preserve"> szczegółowych</w:t>
            </w:r>
          </w:p>
        </w:tc>
      </w:tr>
      <w:tr w:rsidR="00E514B3" w:rsidRPr="00D17334" w14:paraId="0614D8B9" w14:textId="77777777" w:rsidTr="004B7D83">
        <w:trPr>
          <w:trHeight w:val="667"/>
          <w:jc w:val="center"/>
        </w:trPr>
        <w:tc>
          <w:tcPr>
            <w:tcW w:w="836" w:type="dxa"/>
            <w:tcBorders>
              <w:left w:val="single" w:sz="12" w:space="0" w:color="92D050"/>
              <w:bottom w:val="single" w:sz="12" w:space="0" w:color="92D050"/>
            </w:tcBorders>
            <w:vAlign w:val="center"/>
          </w:tcPr>
          <w:p w14:paraId="3392A612" w14:textId="58E25E15"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12.</w:t>
            </w:r>
          </w:p>
        </w:tc>
        <w:tc>
          <w:tcPr>
            <w:tcW w:w="3260" w:type="dxa"/>
            <w:tcBorders>
              <w:bottom w:val="single" w:sz="12" w:space="0" w:color="92D050"/>
            </w:tcBorders>
            <w:vAlign w:val="center"/>
          </w:tcPr>
          <w:p w14:paraId="1BF9D12A" w14:textId="35ECEFB1"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z krajów trzecich objętych wsparciem w programie </w:t>
            </w:r>
          </w:p>
        </w:tc>
        <w:tc>
          <w:tcPr>
            <w:tcW w:w="1276" w:type="dxa"/>
            <w:tcBorders>
              <w:bottom w:val="single" w:sz="12" w:space="0" w:color="92D050"/>
            </w:tcBorders>
            <w:vAlign w:val="center"/>
          </w:tcPr>
          <w:p w14:paraId="59D9FCD1" w14:textId="5DB4188A"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1AC4BF7C" w14:textId="611E4BA9"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08F2BE8F" w14:textId="624970F4"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63852480" w14:textId="367F2352"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05D63751" w14:textId="2189A79C" w:rsidR="00E514B3" w:rsidRPr="00D17334" w:rsidRDefault="000A4100" w:rsidP="00E514B3">
            <w:pPr>
              <w:spacing w:before="60" w:after="60"/>
              <w:rPr>
                <w:rFonts w:cstheme="minorHAnsi"/>
                <w:iCs/>
                <w:sz w:val="24"/>
                <w:szCs w:val="24"/>
              </w:rPr>
            </w:pPr>
            <w:r w:rsidRPr="00D17334">
              <w:rPr>
                <w:rFonts w:cstheme="minorHAnsi"/>
                <w:iCs/>
                <w:sz w:val="24"/>
                <w:szCs w:val="24"/>
              </w:rPr>
              <w:t xml:space="preserve">Definicja jak we wskaźniku </w:t>
            </w:r>
            <w:r>
              <w:rPr>
                <w:rFonts w:cstheme="minorHAnsi"/>
                <w:iCs/>
                <w:sz w:val="24"/>
                <w:szCs w:val="24"/>
              </w:rPr>
              <w:t xml:space="preserve">horyzontalnym - </w:t>
            </w:r>
            <w:r w:rsidRPr="00D17334">
              <w:rPr>
                <w:rFonts w:cstheme="minorHAnsi"/>
                <w:iCs/>
                <w:sz w:val="24"/>
                <w:szCs w:val="24"/>
              </w:rPr>
              <w:t>mierzonym we wszystkich celach</w:t>
            </w:r>
            <w:r>
              <w:rPr>
                <w:rFonts w:cstheme="minorHAnsi"/>
                <w:iCs/>
                <w:sz w:val="24"/>
                <w:szCs w:val="24"/>
              </w:rPr>
              <w:t xml:space="preserve"> szczegółowych</w:t>
            </w:r>
          </w:p>
        </w:tc>
      </w:tr>
      <w:tr w:rsidR="000A4100" w:rsidRPr="00D17334" w14:paraId="242DABAA" w14:textId="77777777" w:rsidTr="000A4100">
        <w:trPr>
          <w:trHeight w:val="667"/>
          <w:jc w:val="center"/>
        </w:trPr>
        <w:tc>
          <w:tcPr>
            <w:tcW w:w="836" w:type="dxa"/>
            <w:tcBorders>
              <w:left w:val="single" w:sz="12" w:space="0" w:color="92D050"/>
              <w:bottom w:val="single" w:sz="12" w:space="0" w:color="92D050"/>
            </w:tcBorders>
            <w:vAlign w:val="center"/>
          </w:tcPr>
          <w:p w14:paraId="03F8A2DA" w14:textId="7F4033C7" w:rsidR="000A4100" w:rsidRPr="00D17334" w:rsidRDefault="000A4100" w:rsidP="000A4100">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13.</w:t>
            </w:r>
          </w:p>
        </w:tc>
        <w:tc>
          <w:tcPr>
            <w:tcW w:w="3260" w:type="dxa"/>
            <w:tcBorders>
              <w:bottom w:val="single" w:sz="12" w:space="0" w:color="92D050"/>
            </w:tcBorders>
            <w:vAlign w:val="center"/>
          </w:tcPr>
          <w:p w14:paraId="748C361F" w14:textId="78454010" w:rsidR="000A4100" w:rsidRPr="00C05057" w:rsidRDefault="000A4100" w:rsidP="000A4100">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obcego pochodzenia objętych wsparciem w programie </w:t>
            </w:r>
          </w:p>
        </w:tc>
        <w:tc>
          <w:tcPr>
            <w:tcW w:w="1276" w:type="dxa"/>
            <w:tcBorders>
              <w:bottom w:val="single" w:sz="12" w:space="0" w:color="92D050"/>
            </w:tcBorders>
            <w:vAlign w:val="center"/>
          </w:tcPr>
          <w:p w14:paraId="4205348E" w14:textId="13B7ADBC" w:rsidR="000A4100" w:rsidRPr="00D17334" w:rsidRDefault="000A4100" w:rsidP="000A4100">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5CBDF7A3" w14:textId="0890CBF5" w:rsidR="000A4100" w:rsidRPr="00D17334" w:rsidRDefault="000A4100" w:rsidP="000A4100">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7ED21010" w14:textId="35ED347F" w:rsidR="000A4100" w:rsidRPr="00D17334" w:rsidRDefault="000A4100" w:rsidP="000A4100">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5BBF2C93" w14:textId="6803B258" w:rsidR="000A4100" w:rsidRPr="00D17334" w:rsidRDefault="000A4100" w:rsidP="000A4100">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501DD97F" w14:textId="6EFCC160" w:rsidR="000A4100" w:rsidRPr="00D17334" w:rsidRDefault="000A4100" w:rsidP="000A4100">
            <w:pPr>
              <w:spacing w:before="60" w:after="60"/>
              <w:rPr>
                <w:rFonts w:cstheme="minorHAnsi"/>
                <w:iCs/>
                <w:sz w:val="24"/>
                <w:szCs w:val="24"/>
              </w:rPr>
            </w:pPr>
            <w:r w:rsidRPr="007A3F38">
              <w:rPr>
                <w:rFonts w:cstheme="minorHAnsi"/>
                <w:iCs/>
                <w:sz w:val="24"/>
                <w:szCs w:val="24"/>
              </w:rPr>
              <w:t>Definicja jak we wskaźniku horyzontalnym - mierzonym we wszystkich celach szczegółowych</w:t>
            </w:r>
          </w:p>
        </w:tc>
      </w:tr>
      <w:tr w:rsidR="000A4100" w:rsidRPr="00D17334" w14:paraId="5345F914" w14:textId="77777777" w:rsidTr="000A4100">
        <w:trPr>
          <w:trHeight w:val="667"/>
          <w:jc w:val="center"/>
        </w:trPr>
        <w:tc>
          <w:tcPr>
            <w:tcW w:w="836" w:type="dxa"/>
            <w:tcBorders>
              <w:left w:val="single" w:sz="12" w:space="0" w:color="92D050"/>
              <w:bottom w:val="single" w:sz="12" w:space="0" w:color="92D050"/>
            </w:tcBorders>
            <w:vAlign w:val="center"/>
          </w:tcPr>
          <w:p w14:paraId="68F8B46A" w14:textId="5D0F4590" w:rsidR="000A4100" w:rsidRPr="00D17334" w:rsidRDefault="000A4100" w:rsidP="000A4100">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14.</w:t>
            </w:r>
          </w:p>
        </w:tc>
        <w:tc>
          <w:tcPr>
            <w:tcW w:w="3260" w:type="dxa"/>
            <w:tcBorders>
              <w:bottom w:val="single" w:sz="12" w:space="0" w:color="92D050"/>
            </w:tcBorders>
            <w:vAlign w:val="center"/>
          </w:tcPr>
          <w:p w14:paraId="282E3B8C" w14:textId="5C72CB6F" w:rsidR="000A4100" w:rsidRPr="00C05057" w:rsidRDefault="000A4100" w:rsidP="000A4100">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należących do mniejszości, w tym społeczności marginalizowanych takich jak Romowie, objętych wsparciem w programie </w:t>
            </w:r>
          </w:p>
        </w:tc>
        <w:tc>
          <w:tcPr>
            <w:tcW w:w="1276" w:type="dxa"/>
            <w:tcBorders>
              <w:bottom w:val="single" w:sz="12" w:space="0" w:color="92D050"/>
            </w:tcBorders>
            <w:vAlign w:val="center"/>
          </w:tcPr>
          <w:p w14:paraId="10AF3910" w14:textId="3AF33F82" w:rsidR="000A4100" w:rsidRPr="00D17334" w:rsidRDefault="000A4100" w:rsidP="000A4100">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2D2CCE11" w14:textId="20D8446E" w:rsidR="000A4100" w:rsidRPr="00D17334" w:rsidRDefault="000A4100" w:rsidP="000A4100">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2AEA1EF2" w14:textId="23C60083" w:rsidR="000A4100" w:rsidRPr="00D17334" w:rsidRDefault="000A4100" w:rsidP="000A4100">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72B1E94D" w14:textId="7E0E5F2D" w:rsidR="000A4100" w:rsidRPr="00D17334" w:rsidRDefault="000A4100" w:rsidP="000A4100">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2E502270" w14:textId="40D3A5F7" w:rsidR="000A4100" w:rsidRPr="00D17334" w:rsidRDefault="000A4100" w:rsidP="000A4100">
            <w:pPr>
              <w:spacing w:before="60" w:after="60"/>
              <w:rPr>
                <w:rFonts w:cstheme="minorHAnsi"/>
                <w:iCs/>
                <w:sz w:val="24"/>
                <w:szCs w:val="24"/>
              </w:rPr>
            </w:pPr>
            <w:r w:rsidRPr="007A3F38">
              <w:rPr>
                <w:rFonts w:cstheme="minorHAnsi"/>
                <w:iCs/>
                <w:sz w:val="24"/>
                <w:szCs w:val="24"/>
              </w:rPr>
              <w:t>Definicja jak we wskaźniku horyzontalnym - mierzonym we wszystkich celach szczegółowych</w:t>
            </w:r>
          </w:p>
        </w:tc>
      </w:tr>
      <w:tr w:rsidR="000A4100" w:rsidRPr="00D17334" w14:paraId="527AAB2E" w14:textId="77777777" w:rsidTr="000A4100">
        <w:trPr>
          <w:trHeight w:val="667"/>
          <w:jc w:val="center"/>
        </w:trPr>
        <w:tc>
          <w:tcPr>
            <w:tcW w:w="836" w:type="dxa"/>
            <w:tcBorders>
              <w:left w:val="single" w:sz="12" w:space="0" w:color="92D050"/>
              <w:bottom w:val="single" w:sz="12" w:space="0" w:color="92D050"/>
            </w:tcBorders>
            <w:vAlign w:val="center"/>
          </w:tcPr>
          <w:p w14:paraId="15CD662D" w14:textId="2DEC9149" w:rsidR="000A4100" w:rsidRPr="00D17334" w:rsidRDefault="000A4100" w:rsidP="000A4100">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15.</w:t>
            </w:r>
          </w:p>
        </w:tc>
        <w:tc>
          <w:tcPr>
            <w:tcW w:w="3260" w:type="dxa"/>
            <w:tcBorders>
              <w:bottom w:val="single" w:sz="12" w:space="0" w:color="92D050"/>
            </w:tcBorders>
            <w:vAlign w:val="center"/>
          </w:tcPr>
          <w:p w14:paraId="03D58659" w14:textId="3C096A78" w:rsidR="000A4100" w:rsidRPr="00C05057" w:rsidRDefault="000A4100" w:rsidP="000A4100">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w kryzysie bezdomności lub dotkniętych wykluczeniem z dostępu do mieszkań, objętych wsparciem w programie </w:t>
            </w:r>
          </w:p>
        </w:tc>
        <w:tc>
          <w:tcPr>
            <w:tcW w:w="1276" w:type="dxa"/>
            <w:tcBorders>
              <w:bottom w:val="single" w:sz="12" w:space="0" w:color="92D050"/>
            </w:tcBorders>
            <w:vAlign w:val="center"/>
          </w:tcPr>
          <w:p w14:paraId="318FA813" w14:textId="7C3CA671" w:rsidR="000A4100" w:rsidRPr="00D17334" w:rsidRDefault="000A4100" w:rsidP="000A4100">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6F2FAD07" w14:textId="3DCA3277" w:rsidR="000A4100" w:rsidRPr="00D17334" w:rsidRDefault="000A4100" w:rsidP="000A4100">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130DD45D" w14:textId="10FECAFC" w:rsidR="000A4100" w:rsidRPr="00D17334" w:rsidRDefault="000A4100" w:rsidP="000A4100">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1498C024" w14:textId="19BDF187" w:rsidR="000A4100" w:rsidRPr="00D17334" w:rsidRDefault="000A4100" w:rsidP="000A4100">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430FDC13" w14:textId="2298E4E8" w:rsidR="000A4100" w:rsidRPr="00D17334" w:rsidRDefault="000A4100" w:rsidP="000A4100">
            <w:pPr>
              <w:spacing w:before="60" w:after="60"/>
              <w:rPr>
                <w:rFonts w:cstheme="minorHAnsi"/>
                <w:iCs/>
                <w:sz w:val="24"/>
                <w:szCs w:val="24"/>
              </w:rPr>
            </w:pPr>
            <w:r w:rsidRPr="007A3F38">
              <w:rPr>
                <w:rFonts w:cstheme="minorHAnsi"/>
                <w:iCs/>
                <w:sz w:val="24"/>
                <w:szCs w:val="24"/>
              </w:rPr>
              <w:t>Definicja jak we wskaźniku horyzontalnym - mierzonym we wszystkich celach szczegółowych</w:t>
            </w:r>
          </w:p>
        </w:tc>
      </w:tr>
      <w:tr w:rsidR="00E514B3" w:rsidRPr="00D17334" w14:paraId="49680223" w14:textId="77777777" w:rsidTr="004B7D83">
        <w:trPr>
          <w:trHeight w:val="667"/>
          <w:jc w:val="center"/>
        </w:trPr>
        <w:tc>
          <w:tcPr>
            <w:tcW w:w="836" w:type="dxa"/>
            <w:tcBorders>
              <w:left w:val="single" w:sz="12" w:space="0" w:color="92D050"/>
              <w:bottom w:val="single" w:sz="12" w:space="0" w:color="92D050"/>
            </w:tcBorders>
            <w:vAlign w:val="center"/>
          </w:tcPr>
          <w:p w14:paraId="4163EC5B" w14:textId="678E6D8A"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t>16.</w:t>
            </w:r>
          </w:p>
        </w:tc>
        <w:tc>
          <w:tcPr>
            <w:tcW w:w="3260" w:type="dxa"/>
            <w:tcBorders>
              <w:bottom w:val="single" w:sz="12" w:space="0" w:color="92D050"/>
            </w:tcBorders>
            <w:vAlign w:val="center"/>
          </w:tcPr>
          <w:p w14:paraId="316F3E72" w14:textId="4F379865"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pochodzących z obszarów wiejskich objętych wsparciem w programie </w:t>
            </w:r>
          </w:p>
        </w:tc>
        <w:tc>
          <w:tcPr>
            <w:tcW w:w="1276" w:type="dxa"/>
            <w:tcBorders>
              <w:bottom w:val="single" w:sz="12" w:space="0" w:color="92D050"/>
            </w:tcBorders>
            <w:vAlign w:val="center"/>
          </w:tcPr>
          <w:p w14:paraId="13BB57A9" w14:textId="22DE4877"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151EA35F" w14:textId="448EB4AD"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536E3719" w14:textId="31B63A93"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46448DC7" w14:textId="36F1D831"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362CD1C1"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Osoby pochodzące z obszarów wiejskich należy rozumieć jako osoby przebywające na obszarach słabo zaludnionych zgodnie ze stopniem urbanizacji (DEGURBA kategoria 3).</w:t>
            </w:r>
          </w:p>
          <w:p w14:paraId="7077A7EF" w14:textId="77777777" w:rsidR="00E514B3" w:rsidRPr="00D17334" w:rsidRDefault="00E514B3" w:rsidP="00510D4C">
            <w:pPr>
              <w:spacing w:after="120"/>
              <w:rPr>
                <w:rFonts w:eastAsia="Times New Roman" w:cstheme="minorHAnsi"/>
                <w:iCs/>
                <w:sz w:val="24"/>
                <w:szCs w:val="24"/>
                <w:lang w:eastAsia="pl-PL"/>
              </w:rPr>
            </w:pPr>
            <w:r w:rsidRPr="00D17334">
              <w:rPr>
                <w:rFonts w:eastAsia="Times New Roman" w:cstheme="minorHAnsi"/>
                <w:iCs/>
                <w:sz w:val="24"/>
                <w:szCs w:val="24"/>
                <w:lang w:eastAsia="pl-PL"/>
              </w:rPr>
              <w:t>Obszary słabo zaludnione to obszary, na których więcej niż 50% populacji zamieszkuje tereny wiejskie.</w:t>
            </w:r>
          </w:p>
          <w:p w14:paraId="39727F53" w14:textId="77777777" w:rsidR="00E514B3" w:rsidRPr="00D17334" w:rsidRDefault="00E514B3" w:rsidP="00510D4C">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lang w:eastAsia="pl-PL"/>
              </w:rPr>
              <w:t>Wartość tego wskaźnika jest obliczana automatycznie na podstawie gminy zamieszkania uczestnika wg kategorii 3 klasyfikacji DEGURBA.</w:t>
            </w:r>
            <w:r w:rsidRPr="00D17334">
              <w:rPr>
                <w:rFonts w:asciiTheme="minorHAnsi" w:hAnsiTheme="minorHAnsi" w:cstheme="minorHAnsi"/>
                <w:iCs/>
                <w:sz w:val="24"/>
                <w:szCs w:val="24"/>
                <w:lang w:eastAsia="pl-PL"/>
              </w:rPr>
              <w:br/>
            </w:r>
          </w:p>
          <w:p w14:paraId="788B6499" w14:textId="77777777" w:rsidR="00E514B3" w:rsidRPr="00D17334" w:rsidRDefault="00E514B3" w:rsidP="00E514B3">
            <w:pPr>
              <w:pStyle w:val="Default"/>
              <w:rPr>
                <w:rFonts w:asciiTheme="minorHAnsi" w:hAnsiTheme="minorHAnsi" w:cstheme="minorHAnsi"/>
                <w:iCs/>
                <w:color w:val="auto"/>
              </w:rPr>
            </w:pPr>
            <w:r w:rsidRPr="00D17334">
              <w:rPr>
                <w:rFonts w:asciiTheme="minorHAnsi" w:hAnsiTheme="minorHAnsi" w:cstheme="minorHAnsi"/>
                <w:iCs/>
                <w:color w:val="auto"/>
              </w:rPr>
              <w:lastRenderedPageBreak/>
              <w:t xml:space="preserve">Kategoria 3 DEGURBA jest określana na podstawie: </w:t>
            </w:r>
            <w:hyperlink r:id="rId12" w:history="1">
              <w:r w:rsidRPr="00D17334">
                <w:rPr>
                  <w:rStyle w:val="Hipercze"/>
                  <w:rFonts w:asciiTheme="minorHAnsi" w:hAnsiTheme="minorHAnsi" w:cstheme="minorHAnsi"/>
                  <w:iCs/>
                  <w:color w:val="auto"/>
                </w:rPr>
                <w:t>http://ec.europa.eu/eurostat/web/nuts/local-administrative-units</w:t>
              </w:r>
            </w:hyperlink>
            <w:r w:rsidRPr="00D17334">
              <w:rPr>
                <w:rFonts w:asciiTheme="minorHAnsi" w:hAnsiTheme="minorHAnsi" w:cstheme="minorHAnsi"/>
                <w:iCs/>
                <w:color w:val="auto"/>
              </w:rPr>
              <w:t xml:space="preserve"> - tabela dla roku odniesienia 2019. </w:t>
            </w:r>
          </w:p>
          <w:p w14:paraId="4EFFE103" w14:textId="169F2C6F"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Przynależność do grupy osób pochodzących z obszarów wiejskich określana jest w momencie rozpoczęcia udziału w projekcie, tj. w chwili rozpoczęcia udziału w pierwszej formie wsparcia w projekcie.</w:t>
            </w:r>
          </w:p>
        </w:tc>
      </w:tr>
      <w:tr w:rsidR="00E514B3" w:rsidRPr="00D17334" w14:paraId="0839F7CD" w14:textId="77777777" w:rsidTr="004B7D83">
        <w:trPr>
          <w:trHeight w:val="667"/>
          <w:jc w:val="center"/>
        </w:trPr>
        <w:tc>
          <w:tcPr>
            <w:tcW w:w="836" w:type="dxa"/>
            <w:tcBorders>
              <w:left w:val="single" w:sz="12" w:space="0" w:color="92D050"/>
              <w:bottom w:val="single" w:sz="12" w:space="0" w:color="92D050"/>
            </w:tcBorders>
            <w:vAlign w:val="center"/>
          </w:tcPr>
          <w:p w14:paraId="7C0A1854" w14:textId="3E6B006F"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17.</w:t>
            </w:r>
          </w:p>
        </w:tc>
        <w:tc>
          <w:tcPr>
            <w:tcW w:w="3260" w:type="dxa"/>
            <w:tcBorders>
              <w:bottom w:val="single" w:sz="12" w:space="0" w:color="92D050"/>
            </w:tcBorders>
            <w:vAlign w:val="center"/>
          </w:tcPr>
          <w:p w14:paraId="2A544D12" w14:textId="456B524E"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objętych wsparciem podmiotów administracji publicznej lub służb publicznych na szczeblu krajowym, regionalnym lub lokalnym </w:t>
            </w:r>
          </w:p>
        </w:tc>
        <w:tc>
          <w:tcPr>
            <w:tcW w:w="1276" w:type="dxa"/>
            <w:tcBorders>
              <w:bottom w:val="single" w:sz="12" w:space="0" w:color="92D050"/>
            </w:tcBorders>
            <w:vAlign w:val="center"/>
          </w:tcPr>
          <w:p w14:paraId="7F1D7D6F" w14:textId="414165A2"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podmiot</w:t>
            </w:r>
          </w:p>
        </w:tc>
        <w:tc>
          <w:tcPr>
            <w:tcW w:w="1413" w:type="dxa"/>
            <w:tcBorders>
              <w:bottom w:val="single" w:sz="12" w:space="0" w:color="92D050"/>
            </w:tcBorders>
            <w:shd w:val="clear" w:color="auto" w:fill="auto"/>
            <w:vAlign w:val="center"/>
          </w:tcPr>
          <w:p w14:paraId="2961F99F" w14:textId="04E4D5E4"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2EB20AA0" w14:textId="59EE3DBB"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7F4E68FF" w14:textId="23C307BA"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62C545DB"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Za służby publiczne uznaje się publiczne lub prywatne podmioty, które świadczą usługi publiczne (w przypadku usług publicznych zlecanych przez państwo podmiotom prywatnym lub świadczonych w ramach partnerstwa publiczno-prywatnego).</w:t>
            </w:r>
          </w:p>
          <w:p w14:paraId="4515C71D"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 xml:space="preserve">Przez administrację publiczną rozumie się: administrację wykonawczą i prawodawczą na poziomie centralnym, regionalnym i lokalnym; administrację i nadzór nad sprawami podatkowymi (obsługa podatków; pobór cła / podatku od towarów i dochodzenie w sprawie naruszenia prawa podatkowego; służba celna); administrację zajmującą się wdrażaniem budżetu i zarządzaniem  środkami budżetu państwa i długiem publicznym (pobieranie i otrzymywanie pieniędzy oraz kontrola ich wydatkowania); administrację zajmującą się sprawami obywatelskimi, polityką w zakresie badań i rozwoju </w:t>
            </w:r>
            <w:r w:rsidRPr="00D17334">
              <w:rPr>
                <w:rFonts w:asciiTheme="minorHAnsi" w:hAnsiTheme="minorHAnsi" w:cstheme="minorHAnsi"/>
                <w:iCs/>
                <w:sz w:val="24"/>
                <w:szCs w:val="24"/>
              </w:rPr>
              <w:lastRenderedPageBreak/>
              <w:t>oraz powiązanymi funduszami; administrację i realizację  ogólnego planowania gospodarczego i społecznego oraz usług statystycznych na różnych szczeblach rządzenia.</w:t>
            </w:r>
          </w:p>
          <w:p w14:paraId="6F84743B"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Informacje dotyczące podmiotów objętych wsparciem powinny pochodzić z dokumentów administracyjnych np. z umów o dofinansowanie.</w:t>
            </w:r>
          </w:p>
          <w:p w14:paraId="476BED53"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Do wskaźnika wliczane są tylko te podmioty, dla których można wyróżnić wydatki (nie dotyczy pomocy technicznej).</w:t>
            </w:r>
          </w:p>
          <w:p w14:paraId="7E1F0CC6" w14:textId="127C6697" w:rsidR="00E514B3" w:rsidRPr="00D17334" w:rsidRDefault="00E514B3" w:rsidP="00E514B3">
            <w:pPr>
              <w:spacing w:before="60" w:after="60"/>
              <w:rPr>
                <w:rFonts w:cstheme="minorHAnsi"/>
                <w:iCs/>
                <w:sz w:val="24"/>
                <w:szCs w:val="24"/>
              </w:rPr>
            </w:pPr>
            <w:r w:rsidRPr="00D17334">
              <w:rPr>
                <w:rFonts w:cstheme="minorHAnsi"/>
                <w:iCs/>
                <w:sz w:val="24"/>
                <w:szCs w:val="24"/>
              </w:rPr>
              <w:t>Podmiot jest wliczany do wskaźnika w momencie rozpoczęcia udziału w projekcie.</w:t>
            </w:r>
          </w:p>
        </w:tc>
      </w:tr>
      <w:tr w:rsidR="00E514B3" w:rsidRPr="00D17334" w14:paraId="0F103B9C" w14:textId="77777777" w:rsidTr="004B7D83">
        <w:trPr>
          <w:trHeight w:val="667"/>
          <w:jc w:val="center"/>
        </w:trPr>
        <w:tc>
          <w:tcPr>
            <w:tcW w:w="836" w:type="dxa"/>
            <w:tcBorders>
              <w:left w:val="single" w:sz="12" w:space="0" w:color="92D050"/>
              <w:bottom w:val="single" w:sz="12" w:space="0" w:color="92D050"/>
            </w:tcBorders>
            <w:vAlign w:val="center"/>
          </w:tcPr>
          <w:p w14:paraId="58FF0166" w14:textId="29FC65D6"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18.</w:t>
            </w:r>
          </w:p>
        </w:tc>
        <w:tc>
          <w:tcPr>
            <w:tcW w:w="3260" w:type="dxa"/>
            <w:tcBorders>
              <w:bottom w:val="single" w:sz="12" w:space="0" w:color="92D050"/>
            </w:tcBorders>
            <w:vAlign w:val="center"/>
          </w:tcPr>
          <w:p w14:paraId="49E59253" w14:textId="3521E6CC"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objętych wsparciem mikro-, małych i średnich przedsiębiorstw </w:t>
            </w:r>
            <w:r w:rsidRPr="00C05057">
              <w:rPr>
                <w:rFonts w:cstheme="minorHAnsi"/>
                <w:iCs/>
                <w:sz w:val="24"/>
                <w:szCs w:val="24"/>
              </w:rPr>
              <w:br/>
              <w:t xml:space="preserve">(w tym spółdzielni i przedsiębiorstw społecznych) </w:t>
            </w:r>
          </w:p>
        </w:tc>
        <w:tc>
          <w:tcPr>
            <w:tcW w:w="1276" w:type="dxa"/>
            <w:tcBorders>
              <w:bottom w:val="single" w:sz="12" w:space="0" w:color="92D050"/>
            </w:tcBorders>
            <w:vAlign w:val="center"/>
          </w:tcPr>
          <w:p w14:paraId="072B660E" w14:textId="709FFA65" w:rsidR="00E514B3" w:rsidRPr="00D17334" w:rsidRDefault="00E514B3" w:rsidP="00E514B3">
            <w:pPr>
              <w:tabs>
                <w:tab w:val="left" w:pos="3402"/>
                <w:tab w:val="left" w:pos="5103"/>
              </w:tabs>
              <w:spacing w:before="60" w:after="60"/>
              <w:jc w:val="center"/>
              <w:rPr>
                <w:rFonts w:cstheme="minorHAnsi"/>
                <w:iCs/>
                <w:sz w:val="24"/>
                <w:szCs w:val="24"/>
              </w:rPr>
            </w:pPr>
            <w:proofErr w:type="spellStart"/>
            <w:r w:rsidRPr="00D17334">
              <w:rPr>
                <w:rFonts w:cstheme="minorHAnsi"/>
                <w:iCs/>
                <w:sz w:val="24"/>
                <w:szCs w:val="24"/>
              </w:rPr>
              <w:t>przedsię</w:t>
            </w:r>
            <w:proofErr w:type="spellEnd"/>
            <w:r w:rsidRPr="00D17334">
              <w:rPr>
                <w:rFonts w:cstheme="minorHAnsi"/>
                <w:iCs/>
                <w:sz w:val="24"/>
                <w:szCs w:val="24"/>
              </w:rPr>
              <w:t>-biorstwo</w:t>
            </w:r>
          </w:p>
        </w:tc>
        <w:tc>
          <w:tcPr>
            <w:tcW w:w="1413" w:type="dxa"/>
            <w:tcBorders>
              <w:bottom w:val="single" w:sz="12" w:space="0" w:color="92D050"/>
            </w:tcBorders>
            <w:shd w:val="clear" w:color="auto" w:fill="auto"/>
            <w:vAlign w:val="center"/>
          </w:tcPr>
          <w:p w14:paraId="26F6C9C8" w14:textId="4455F02C"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12" w:space="0" w:color="92D050"/>
            </w:tcBorders>
            <w:shd w:val="clear" w:color="auto" w:fill="auto"/>
            <w:vAlign w:val="center"/>
          </w:tcPr>
          <w:p w14:paraId="64A7B4F4" w14:textId="2FEBAF03"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10D5D06E" w14:textId="7FA5D68F"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5CE588D5"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Za przedsiębiorstwo uważa się podmiot prowadzący działalność gospodarczą bez względu na jego formę prawną, w tym spółdzielnie i przedsiębiorstwa społeczne.</w:t>
            </w:r>
          </w:p>
          <w:p w14:paraId="6CBF3BFA"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Na kategorię mikroprzedsiębiorstw oraz małych i średnich przedsiębiorstw (MMŚP) składają się przedsiębiorstwa, które zatrudniają mniej niż 250 pracowników, których roczny obrót nie przekracza 50 milionów EUR lub roczna suma bilansowa nie przekracza 43 milionów EUR.</w:t>
            </w:r>
          </w:p>
          <w:p w14:paraId="7F6CD589" w14:textId="77777777" w:rsidR="00E514B3" w:rsidRPr="00D17334" w:rsidRDefault="00E514B3" w:rsidP="00E514B3">
            <w:pPr>
              <w:spacing w:after="120"/>
              <w:jc w:val="both"/>
              <w:rPr>
                <w:rFonts w:eastAsia="Times New Roman" w:cstheme="minorHAnsi"/>
                <w:iCs/>
                <w:sz w:val="24"/>
                <w:szCs w:val="24"/>
                <w:lang w:eastAsia="pl-PL"/>
              </w:rPr>
            </w:pPr>
            <w:r w:rsidRPr="00D17334">
              <w:rPr>
                <w:rFonts w:eastAsia="Times New Roman" w:cstheme="minorHAnsi"/>
                <w:iCs/>
                <w:sz w:val="24"/>
                <w:szCs w:val="24"/>
                <w:lang w:eastAsia="pl-PL"/>
              </w:rPr>
              <w:lastRenderedPageBreak/>
              <w:t>Definicje na podstawie: Zalecenie Komisji z dnia 6 maja 2003 r. dotyczące definicji mikroprzedsiębiorstw oraz małych i średnich przedsiębiorstw (2003/361/WE).</w:t>
            </w:r>
          </w:p>
          <w:p w14:paraId="0D48E262" w14:textId="77777777" w:rsidR="00E514B3" w:rsidRPr="00D17334" w:rsidRDefault="00E514B3" w:rsidP="00E514B3">
            <w:pPr>
              <w:spacing w:after="120"/>
              <w:jc w:val="both"/>
              <w:rPr>
                <w:rFonts w:eastAsia="Times New Roman" w:cstheme="minorHAnsi"/>
                <w:iCs/>
                <w:sz w:val="24"/>
                <w:szCs w:val="24"/>
                <w:lang w:eastAsia="pl-PL"/>
              </w:rPr>
            </w:pPr>
            <w:r w:rsidRPr="00D17334">
              <w:rPr>
                <w:rFonts w:eastAsia="Times New Roman" w:cstheme="minorHAnsi"/>
                <w:iCs/>
                <w:sz w:val="24"/>
                <w:szCs w:val="24"/>
                <w:lang w:eastAsia="pl-PL"/>
              </w:rPr>
              <w:t>Dodatkowe informacje:</w:t>
            </w:r>
          </w:p>
          <w:p w14:paraId="40217596" w14:textId="77777777" w:rsidR="00E514B3" w:rsidRPr="00D17334" w:rsidRDefault="00E514B3" w:rsidP="00E514B3">
            <w:pPr>
              <w:spacing w:after="120"/>
              <w:rPr>
                <w:rFonts w:cstheme="minorHAnsi"/>
                <w:iCs/>
                <w:sz w:val="24"/>
                <w:szCs w:val="24"/>
              </w:rPr>
            </w:pPr>
            <w:r w:rsidRPr="00D17334">
              <w:rPr>
                <w:rFonts w:cstheme="minorHAnsi"/>
                <w:iCs/>
                <w:sz w:val="24"/>
                <w:szCs w:val="24"/>
              </w:rPr>
              <w:t>W kategorii mikroprzedsiębiorstwa należy uwzględnić również osoby prowadzące działalność na własny rachunek.</w:t>
            </w:r>
          </w:p>
          <w:p w14:paraId="5EA8C6DE" w14:textId="77777777" w:rsidR="00E514B3" w:rsidRPr="00D17334" w:rsidRDefault="00E514B3" w:rsidP="00E514B3">
            <w:pPr>
              <w:spacing w:after="120"/>
              <w:rPr>
                <w:rFonts w:cstheme="minorHAnsi"/>
                <w:iCs/>
                <w:sz w:val="24"/>
                <w:szCs w:val="24"/>
              </w:rPr>
            </w:pPr>
            <w:r w:rsidRPr="00D17334">
              <w:rPr>
                <w:rFonts w:cstheme="minorHAnsi"/>
                <w:iCs/>
                <w:sz w:val="24"/>
                <w:szCs w:val="24"/>
              </w:rPr>
              <w:t>Tylko MMŚP, które korzystają bezpośrednio ze wsparcia powinny być uwzględniane do wskaźnika, tj. w przypadku, kiedy wsparcie jest kierowane do konkretnego przedsiębiorstwa. Jeżeli na przykład pracownik z MMŚP z własnej inicjatywy uczestniczy w szkoleniu, nie należy tego uwzględniać we wskaźniku dotyczącym MMŚP, ponieważ jest to tylko wsparcie pośrednie dla przedsiębiorstwa. MMŚP będące jedynie beneficjentami projektu także nie są odnotowywane w tym wskaźniku.</w:t>
            </w:r>
          </w:p>
          <w:p w14:paraId="75A9D2FD" w14:textId="0BE22884" w:rsidR="00E514B3" w:rsidRPr="00D17334" w:rsidRDefault="00E514B3" w:rsidP="00E514B3">
            <w:pPr>
              <w:spacing w:before="60" w:after="60"/>
              <w:rPr>
                <w:rFonts w:cstheme="minorHAnsi"/>
                <w:iCs/>
                <w:sz w:val="24"/>
                <w:szCs w:val="24"/>
              </w:rPr>
            </w:pPr>
            <w:r w:rsidRPr="00D17334">
              <w:rPr>
                <w:rFonts w:cstheme="minorHAnsi"/>
                <w:iCs/>
                <w:sz w:val="24"/>
                <w:szCs w:val="24"/>
              </w:rPr>
              <w:t>Podmiot jest wliczany do wskaźnika w momencie rozpoczęcia udziału w projekcie.</w:t>
            </w:r>
          </w:p>
        </w:tc>
      </w:tr>
      <w:tr w:rsidR="00E514B3" w:rsidRPr="00D17334" w14:paraId="77443B1F" w14:textId="77777777" w:rsidTr="004B7D83">
        <w:trPr>
          <w:trHeight w:val="667"/>
          <w:jc w:val="center"/>
        </w:trPr>
        <w:tc>
          <w:tcPr>
            <w:tcW w:w="836" w:type="dxa"/>
            <w:tcBorders>
              <w:left w:val="single" w:sz="12" w:space="0" w:color="92D050"/>
              <w:bottom w:val="single" w:sz="12" w:space="0" w:color="92D050"/>
            </w:tcBorders>
            <w:vAlign w:val="center"/>
          </w:tcPr>
          <w:p w14:paraId="05564ABB" w14:textId="52DB8F78"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19.</w:t>
            </w:r>
          </w:p>
        </w:tc>
        <w:tc>
          <w:tcPr>
            <w:tcW w:w="3260" w:type="dxa"/>
            <w:tcBorders>
              <w:bottom w:val="single" w:sz="12" w:space="0" w:color="92D050"/>
            </w:tcBorders>
            <w:vAlign w:val="center"/>
          </w:tcPr>
          <w:p w14:paraId="5A7DA107" w14:textId="6996AE19"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poszukujących pracy po opuszczeniu programu </w:t>
            </w:r>
          </w:p>
        </w:tc>
        <w:tc>
          <w:tcPr>
            <w:tcW w:w="1276" w:type="dxa"/>
            <w:tcBorders>
              <w:bottom w:val="single" w:sz="12" w:space="0" w:color="92D050"/>
            </w:tcBorders>
            <w:vAlign w:val="center"/>
          </w:tcPr>
          <w:p w14:paraId="2097731F" w14:textId="54A1E746"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6D281D1D" w14:textId="62323B60"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rezultat bezpośredni</w:t>
            </w:r>
          </w:p>
        </w:tc>
        <w:tc>
          <w:tcPr>
            <w:tcW w:w="1422" w:type="dxa"/>
            <w:tcBorders>
              <w:bottom w:val="single" w:sz="12" w:space="0" w:color="92D050"/>
            </w:tcBorders>
            <w:shd w:val="clear" w:color="auto" w:fill="auto"/>
            <w:vAlign w:val="center"/>
          </w:tcPr>
          <w:p w14:paraId="36F1CBDC" w14:textId="3C1CAEA3"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7526872B" w14:textId="3364781C"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6A977C38"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Do wskaźnika wlicza się osoby bierne zawodowo w momencie rozpoczęcia udziału w projekcie, które otrzymały wsparcie z EFS+ i które poszukują pracy po opuszczeniu projektu. </w:t>
            </w:r>
          </w:p>
          <w:p w14:paraId="50856FDF"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Wskaźnik ten należy rozumieć jako zmianę statusu na rynku pracy po opuszczeniu programu w stosunku do </w:t>
            </w:r>
            <w:r w:rsidRPr="00D17334">
              <w:rPr>
                <w:rFonts w:asciiTheme="minorHAnsi" w:hAnsiTheme="minorHAnsi" w:cstheme="minorHAnsi"/>
                <w:iCs/>
                <w:sz w:val="24"/>
                <w:szCs w:val="24"/>
                <w:lang w:eastAsia="pl-PL"/>
              </w:rPr>
              <w:lastRenderedPageBreak/>
              <w:t>sytuacji w momencie przystąpienia do interwencji EFS+: w chwili wejścia do projektu EFS+ – uczestnik bierny zawodowo, a w ciągu czterech tygodni po opuszczeniu projektu – osoba poszukująca pracy.</w:t>
            </w:r>
          </w:p>
          <w:p w14:paraId="2A219DB2"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bierne zawodowo definiowane są jak we wskaźniku: liczba osób biernych zawodowo objętych wsparciem w programie.</w:t>
            </w:r>
          </w:p>
          <w:p w14:paraId="66AB8DC7" w14:textId="77777777" w:rsidR="00E514B3" w:rsidRPr="00D17334" w:rsidRDefault="00E514B3" w:rsidP="00E514B3">
            <w:pPr>
              <w:pStyle w:val="Akapitzlist"/>
              <w:spacing w:before="120" w:after="120"/>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Osoby poszukujące pracy definiowane są jak we wskaźniku liczba osób bezrobotnych, w tym długotrwale bezrobotnych, objętych wsparciem w programie.</w:t>
            </w:r>
          </w:p>
          <w:p w14:paraId="5E6AFC82"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Osoby poszukujące pracy definiowane są jako osoby niepracujące, gotowe do podjęcia pracy i aktywnie poszukujące zatrudnienia. Mogą to być osoby zarejestrowane jako bezrobotne lub poszukujące pracy w publicznych służbach zatrudnienia (PSZ) lub niezarejestrowane, lecz spełniające powyższe przesłanki. Osoby zarejestrowane jako poszukujące pracy w PSZ należy wliczać do wskaźnika nawet jeśli nie mogą od razu podjąć zatrudnienia. </w:t>
            </w:r>
          </w:p>
          <w:p w14:paraId="621C6B10" w14:textId="4965F2AC" w:rsidR="00E514B3" w:rsidRPr="00D17334" w:rsidRDefault="00E514B3" w:rsidP="00E514B3">
            <w:pPr>
              <w:spacing w:before="60" w:after="60"/>
              <w:rPr>
                <w:rFonts w:cstheme="minorHAnsi"/>
                <w:iCs/>
                <w:sz w:val="24"/>
                <w:szCs w:val="24"/>
              </w:rPr>
            </w:pPr>
            <w:r w:rsidRPr="00D17334">
              <w:rPr>
                <w:rFonts w:eastAsia="Times New Roman" w:cstheme="minorHAnsi"/>
                <w:iCs/>
                <w:sz w:val="24"/>
                <w:szCs w:val="24"/>
                <w:lang w:eastAsia="pl-PL"/>
              </w:rPr>
              <w:t>Wskaźnik pokazuje efekt wsparcia po zakończeniu udziału w projekcie i mierzony jest do 4 tygodni od zakończenia udziału w projekcie.</w:t>
            </w:r>
          </w:p>
        </w:tc>
      </w:tr>
      <w:tr w:rsidR="00E514B3" w:rsidRPr="00D17334" w14:paraId="621B6838" w14:textId="77777777" w:rsidTr="004B7D83">
        <w:trPr>
          <w:trHeight w:val="667"/>
          <w:jc w:val="center"/>
        </w:trPr>
        <w:tc>
          <w:tcPr>
            <w:tcW w:w="836" w:type="dxa"/>
            <w:tcBorders>
              <w:left w:val="single" w:sz="12" w:space="0" w:color="92D050"/>
              <w:bottom w:val="single" w:sz="12" w:space="0" w:color="92D050"/>
            </w:tcBorders>
            <w:vAlign w:val="center"/>
          </w:tcPr>
          <w:p w14:paraId="7B5AFA70" w14:textId="4C1BC86F"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20.</w:t>
            </w:r>
          </w:p>
        </w:tc>
        <w:tc>
          <w:tcPr>
            <w:tcW w:w="3260" w:type="dxa"/>
            <w:tcBorders>
              <w:bottom w:val="single" w:sz="12" w:space="0" w:color="92D050"/>
            </w:tcBorders>
            <w:vAlign w:val="center"/>
          </w:tcPr>
          <w:p w14:paraId="6C468E00" w14:textId="6FE4B324"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które podjęły kształcenie lub szkolenie po opuszczeniu programu </w:t>
            </w:r>
          </w:p>
        </w:tc>
        <w:tc>
          <w:tcPr>
            <w:tcW w:w="1276" w:type="dxa"/>
            <w:tcBorders>
              <w:bottom w:val="single" w:sz="12" w:space="0" w:color="92D050"/>
            </w:tcBorders>
            <w:vAlign w:val="center"/>
          </w:tcPr>
          <w:p w14:paraId="69C284D1" w14:textId="33B96D8E"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666E38A4" w14:textId="6BACB5A1"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rezultat bezpośredni</w:t>
            </w:r>
          </w:p>
        </w:tc>
        <w:tc>
          <w:tcPr>
            <w:tcW w:w="1422" w:type="dxa"/>
            <w:tcBorders>
              <w:bottom w:val="single" w:sz="12" w:space="0" w:color="92D050"/>
            </w:tcBorders>
            <w:shd w:val="clear" w:color="auto" w:fill="auto"/>
            <w:vAlign w:val="center"/>
          </w:tcPr>
          <w:p w14:paraId="2D7FC8F1" w14:textId="5BC0C18C"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1A4C8578" w14:textId="0CCDEC9B"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78A39FBA" w14:textId="77777777" w:rsidR="00E514B3" w:rsidRPr="00D17334" w:rsidRDefault="00E514B3" w:rsidP="00E514B3">
            <w:pPr>
              <w:pStyle w:val="Akapitzlist"/>
              <w:spacing w:after="120"/>
              <w:ind w:left="0"/>
              <w:rPr>
                <w:rFonts w:asciiTheme="minorHAnsi" w:hAnsiTheme="minorHAnsi" w:cstheme="minorHAnsi"/>
                <w:iCs/>
                <w:sz w:val="24"/>
                <w:szCs w:val="24"/>
              </w:rPr>
            </w:pPr>
            <w:r w:rsidRPr="00D17334">
              <w:rPr>
                <w:rFonts w:asciiTheme="minorHAnsi" w:hAnsiTheme="minorHAnsi" w:cstheme="minorHAnsi"/>
                <w:iCs/>
                <w:sz w:val="24"/>
                <w:szCs w:val="24"/>
                <w:lang w:eastAsia="pl-PL"/>
              </w:rPr>
              <w:t xml:space="preserve">Do wskaźnika wlicza się </w:t>
            </w:r>
            <w:r w:rsidRPr="00D17334">
              <w:rPr>
                <w:rFonts w:asciiTheme="minorHAnsi" w:hAnsiTheme="minorHAnsi" w:cstheme="minorHAnsi"/>
                <w:iCs/>
                <w:sz w:val="24"/>
                <w:szCs w:val="24"/>
              </w:rPr>
              <w:t>osoby, które otrzymały wsparcie EFS+, i które podjęły kształcenie (uczenie się przez całe życie, kształcenie formalne) lub szkolenie poza miejscem pracy/ w miejscu pracy, szkolenia zawodowe etc., bezpośrednio po opuszczeniu projektu. Wskaźnik mierzony do czterech tygodni od zakończenia przez uczestnika udziału w projekcie.</w:t>
            </w:r>
            <w:r w:rsidRPr="00D17334">
              <w:rPr>
                <w:rFonts w:asciiTheme="minorHAnsi" w:hAnsiTheme="minorHAnsi" w:cstheme="minorHAnsi"/>
                <w:iCs/>
                <w:sz w:val="24"/>
                <w:szCs w:val="24"/>
              </w:rPr>
              <w:br w:type="page"/>
            </w:r>
          </w:p>
          <w:p w14:paraId="38339A9B"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 xml:space="preserve">Wskaźnik ten należy rozumieć jako zmianę sytuacji po opuszczeniu programu w stosunku do stanu w momencie przystąpienia do interwencji EFS+ (osoba nieuczestnicząca w kształceniu/szkoleniu w chwili wejścia do programu EFS+, a w ciągu czterech tygodni po opuszczeniu projektu – osoba uczestnicząca w kształceniu lub szkoleniu). </w:t>
            </w:r>
            <w:r w:rsidRPr="00D17334">
              <w:rPr>
                <w:rFonts w:asciiTheme="minorHAnsi" w:hAnsiTheme="minorHAnsi" w:cstheme="minorHAnsi"/>
                <w:iCs/>
                <w:sz w:val="24"/>
                <w:szCs w:val="24"/>
              </w:rPr>
              <w:br w:type="page"/>
              <w:t>Źródło finansowania szkolenia/kształcenia jest nieistotne.</w:t>
            </w:r>
          </w:p>
          <w:p w14:paraId="2EBF05D9" w14:textId="77777777"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Informacje dodatkowe:</w:t>
            </w:r>
          </w:p>
          <w:p w14:paraId="715031FE" w14:textId="77777777" w:rsidR="00E514B3" w:rsidRPr="00D17334" w:rsidRDefault="00E514B3" w:rsidP="00E514B3">
            <w:pPr>
              <w:pStyle w:val="Akapitzlist"/>
              <w:spacing w:after="120" w:line="259" w:lineRule="auto"/>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Wskaźnik nie obejmuje uczniów, tj. dzieci i młodzieży uczącej się oraz osób dorosłych, jeśli w dniu przystąpienia do projektu osoby te kształciły się lub szkoliły.</w:t>
            </w:r>
          </w:p>
          <w:p w14:paraId="04A8FDC0" w14:textId="2C9AC726" w:rsidR="00E514B3" w:rsidRPr="00D17334" w:rsidRDefault="00E514B3" w:rsidP="00E514B3">
            <w:pPr>
              <w:spacing w:before="60" w:after="60"/>
              <w:rPr>
                <w:rFonts w:cstheme="minorHAnsi"/>
                <w:iCs/>
                <w:sz w:val="24"/>
                <w:szCs w:val="24"/>
              </w:rPr>
            </w:pPr>
            <w:r w:rsidRPr="00D17334">
              <w:rPr>
                <w:rFonts w:cstheme="minorHAnsi"/>
                <w:iCs/>
                <w:sz w:val="24"/>
                <w:szCs w:val="24"/>
              </w:rPr>
              <w:t>Wskaźnik pokazuje efekt wsparcia po zakończeniu udziału w projekcie i mierzony jest do 4 tygodni od zakończenia udziału w projekcie.</w:t>
            </w:r>
          </w:p>
        </w:tc>
      </w:tr>
      <w:tr w:rsidR="00E514B3" w:rsidRPr="00D17334" w14:paraId="65A2DF12" w14:textId="77777777" w:rsidTr="004B7D83">
        <w:trPr>
          <w:trHeight w:val="667"/>
          <w:jc w:val="center"/>
        </w:trPr>
        <w:tc>
          <w:tcPr>
            <w:tcW w:w="836" w:type="dxa"/>
            <w:tcBorders>
              <w:left w:val="single" w:sz="12" w:space="0" w:color="92D050"/>
              <w:bottom w:val="single" w:sz="12" w:space="0" w:color="92D050"/>
            </w:tcBorders>
            <w:vAlign w:val="center"/>
          </w:tcPr>
          <w:p w14:paraId="7B463911" w14:textId="60E51BFF"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21.</w:t>
            </w:r>
          </w:p>
        </w:tc>
        <w:tc>
          <w:tcPr>
            <w:tcW w:w="3260" w:type="dxa"/>
            <w:tcBorders>
              <w:bottom w:val="single" w:sz="12" w:space="0" w:color="92D050"/>
            </w:tcBorders>
            <w:vAlign w:val="center"/>
          </w:tcPr>
          <w:p w14:paraId="500833F7" w14:textId="2D22FAF3"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które uzyskały kwalifikacje po opuszczeniu programu </w:t>
            </w:r>
          </w:p>
        </w:tc>
        <w:tc>
          <w:tcPr>
            <w:tcW w:w="1276" w:type="dxa"/>
            <w:tcBorders>
              <w:bottom w:val="single" w:sz="12" w:space="0" w:color="92D050"/>
            </w:tcBorders>
            <w:vAlign w:val="center"/>
          </w:tcPr>
          <w:p w14:paraId="65BE6F0F" w14:textId="3202181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55B7749B" w14:textId="15620B36"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rezultat bezpośredni</w:t>
            </w:r>
          </w:p>
        </w:tc>
        <w:tc>
          <w:tcPr>
            <w:tcW w:w="1422" w:type="dxa"/>
            <w:tcBorders>
              <w:bottom w:val="single" w:sz="12" w:space="0" w:color="92D050"/>
            </w:tcBorders>
            <w:shd w:val="clear" w:color="auto" w:fill="auto"/>
            <w:vAlign w:val="center"/>
          </w:tcPr>
          <w:p w14:paraId="7A013632" w14:textId="6D54D195"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1B891ED7" w14:textId="69F93F75" w:rsidR="00E514B3" w:rsidRPr="00D17334" w:rsidRDefault="00E514B3" w:rsidP="00E514B3">
            <w:pPr>
              <w:tabs>
                <w:tab w:val="left" w:pos="3402"/>
                <w:tab w:val="left" w:pos="5103"/>
              </w:tabs>
              <w:spacing w:before="60" w:after="60"/>
              <w:ind w:left="-8"/>
              <w:contextualSpacing/>
              <w:jc w:val="center"/>
              <w:rPr>
                <w:rFonts w:cstheme="minorHAnsi"/>
                <w:iCs/>
                <w:sz w:val="24"/>
                <w:szCs w:val="24"/>
              </w:rPr>
            </w:pPr>
            <w:r w:rsidRPr="00D17334">
              <w:rPr>
                <w:rFonts w:cstheme="minorHAnsi"/>
                <w:iCs/>
                <w:sz w:val="24"/>
                <w:szCs w:val="24"/>
              </w:rPr>
              <w:t>-</w:t>
            </w:r>
          </w:p>
        </w:tc>
        <w:tc>
          <w:tcPr>
            <w:tcW w:w="5537" w:type="dxa"/>
            <w:tcBorders>
              <w:bottom w:val="single" w:sz="12" w:space="0" w:color="92D050"/>
              <w:right w:val="single" w:sz="12" w:space="0" w:color="92D050"/>
            </w:tcBorders>
            <w:vAlign w:val="center"/>
          </w:tcPr>
          <w:p w14:paraId="0B35A345"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 xml:space="preserve">Do wskaźnika wlicza się osoby, które otrzymały wsparcie EFS+ i uzyskały kwalifikacje lub kompetencje po opuszczeniu projektu. </w:t>
            </w:r>
          </w:p>
          <w:p w14:paraId="23C54D02"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 xml:space="preserve">Kwalifikacje to określony zestaw efektów uczenia się w zakresie wiedzy, umiejętności oraz kompetencji społecznych nabytych w drodze edukacji formalnej, edukacji </w:t>
            </w:r>
            <w:proofErr w:type="spellStart"/>
            <w:r w:rsidRPr="00D17334">
              <w:rPr>
                <w:rFonts w:eastAsia="Times New Roman" w:cstheme="minorHAnsi"/>
                <w:iCs/>
                <w:sz w:val="24"/>
                <w:szCs w:val="24"/>
                <w:lang w:eastAsia="pl-PL"/>
              </w:rPr>
              <w:t>pozaformalnej</w:t>
            </w:r>
            <w:proofErr w:type="spellEnd"/>
            <w:r w:rsidRPr="00D17334">
              <w:rPr>
                <w:rFonts w:eastAsia="Times New Roman" w:cstheme="minorHAnsi"/>
                <w:iCs/>
                <w:sz w:val="24"/>
                <w:szCs w:val="24"/>
                <w:lang w:eastAsia="pl-PL"/>
              </w:rPr>
              <w:t xml:space="preserve"> lub poprzez uczenie się nieformalne, zgodnych z ustalonymi dla danej kwalifikacji wymaganiami, których osiągnięcie zostało sprawdzone w walidacji oraz formalnie potwierdzone przez instytucję uprawnioną do certyfikowania</w:t>
            </w:r>
          </w:p>
          <w:p w14:paraId="63280F61"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 xml:space="preserve">Kwalifikacje mogą być nadawane przez: </w:t>
            </w:r>
          </w:p>
          <w:p w14:paraId="12E2EB49" w14:textId="77777777" w:rsidR="00E514B3" w:rsidRPr="00D17334" w:rsidRDefault="00E514B3" w:rsidP="00510D4C">
            <w:pPr>
              <w:pStyle w:val="Akapitzlist"/>
              <w:numPr>
                <w:ilvl w:val="0"/>
                <w:numId w:val="35"/>
              </w:numPr>
              <w:spacing w:before="120" w:after="12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podmioty uprawnione do realizacji procesów walidacji i certyfikowania zgodnie z ustawą z dnia 22 grudnia 2015 r. o Zintegrowanym Systemie Kwalifikacji,</w:t>
            </w:r>
          </w:p>
          <w:p w14:paraId="26690A57" w14:textId="77777777" w:rsidR="00E514B3" w:rsidRPr="00D17334" w:rsidRDefault="00E514B3" w:rsidP="00510D4C">
            <w:pPr>
              <w:pStyle w:val="Akapitzlist"/>
              <w:numPr>
                <w:ilvl w:val="0"/>
                <w:numId w:val="35"/>
              </w:numPr>
              <w:spacing w:before="120" w:after="12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podmioty uprawnione do realizacji procesów walidacji i certyfikowania na mocy innych przepisów prawa,</w:t>
            </w:r>
          </w:p>
          <w:p w14:paraId="26BE75A3" w14:textId="77777777" w:rsidR="00E514B3" w:rsidRPr="00D17334" w:rsidRDefault="00E514B3" w:rsidP="00510D4C">
            <w:pPr>
              <w:pStyle w:val="Akapitzlist"/>
              <w:numPr>
                <w:ilvl w:val="0"/>
                <w:numId w:val="35"/>
              </w:numPr>
              <w:spacing w:before="120" w:after="12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podmioty uprawnione do wydawania dokumentów potwierdzających uzyskanie kwalifikacji, w tym w zawodzie,</w:t>
            </w:r>
          </w:p>
          <w:p w14:paraId="73B3B35F" w14:textId="77777777" w:rsidR="00E514B3" w:rsidRPr="00D17334" w:rsidRDefault="00E514B3" w:rsidP="00510D4C">
            <w:pPr>
              <w:pStyle w:val="Akapitzlist"/>
              <w:numPr>
                <w:ilvl w:val="0"/>
                <w:numId w:val="35"/>
              </w:numPr>
              <w:spacing w:before="120" w:after="120"/>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organy władz publicznych lub samorządów zawodowych, uprawnione do wydawania dokumentów potwierdzających kwalifikację na podstawie ustawy lub rozporządzenia.</w:t>
            </w:r>
          </w:p>
          <w:p w14:paraId="4FF53673"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lastRenderedPageBreak/>
              <w:t>Poza kwalifikacjami włączonymi do Zintegrowanego Systemu Kwalifikacji, można wskazać przykłady innych kwalifikacji, które mają znaczenie w określonych środowiskach działalności społecznej lub zawodowej oraz mają stworzony własny system walidacji i certyfikowania. Ponadto, pomimo braku regulacji ze strony państwa polskiego, kwalifikacjami są również certyfikaty, dla których wypracowano już system walidacji i certyfikowania efektów uczenia się na poziomie międzynarodowym.</w:t>
            </w:r>
          </w:p>
          <w:p w14:paraId="0D36CC32"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 xml:space="preserve">Do wskaźnika wliczane są również osoby, które w wyniku realizacji projektu nabyły kompetencje, tj. wyodrębnione zestawy efektów uczenia się / kształcenia, które zostały sprawdzone w procesie walidacji w sposób zgodny z wymaganiami ustalonymi dla danej kompetencji, odnoszącymi się w szczególności do składających się na nią efektów uczenia się. </w:t>
            </w:r>
          </w:p>
          <w:p w14:paraId="0A445BA8"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 xml:space="preserve">Fakt nabycia kompetencji jest weryfikowany w ramach następujących etapów: </w:t>
            </w:r>
          </w:p>
          <w:p w14:paraId="7B7CE610"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a) ETAP I – Zakres – zdefiniowanie w ramach wniosku o dofinansowanie (w przypadku projektów) lub usługi (w przypadku Podmiotowego Systemu Finansowania) grupy docelowej do objęcia wsparciem oraz zakresu tematycznego wsparcia, który będzie poddany ocenie,</w:t>
            </w:r>
          </w:p>
          <w:p w14:paraId="0192F033"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lastRenderedPageBreak/>
              <w:t>b) ETAP II – Wzorzec – określony przed rozpoczęciem form wsparcia i zrealizowany w projekcie/usłudze standard wymagań, tj. efektów uczenia się, które osiągną uczestnicy w wyniku przeprowadzonych działań (wraz z informacjami o kryteriach i metodach weryfikacji tych efektów). Sposób (miejsce) definiowania informacji wymaganych w etapie II powinien zostać określony przez instytucję organizującą konkurs/przeprowadzającą nabór projektów,</w:t>
            </w:r>
          </w:p>
          <w:p w14:paraId="7D1575B8"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 xml:space="preserve">c) ETAP III – Ocena – przeprowadzenie weryfikacji na podstawie kryteriów opisanych we wzorcu (etap II) po zakończeniu wsparcia udzielonego danej osobie, przy zachowaniu rozdzielności funkcji pomiędzy procesem kształcenia i walidacji (np. walidacja jest prowadzona przez zewnętrzny podmiot w stosunku do instytucji szkoleniowej lub w jednej instytucji szkoleniowej proces walidacji jest prowadzony przez inną osobę aniżeli proces kształcenia), </w:t>
            </w:r>
          </w:p>
          <w:p w14:paraId="3B51FF98"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 xml:space="preserve">d) 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 </w:t>
            </w:r>
          </w:p>
          <w:p w14:paraId="53C730E0"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lastRenderedPageBreak/>
              <w:t xml:space="preserve">Przez efekty uczenia się należy rozumieć wiedzę, umiejętności oraz kompetencje społeczne nabyte w edukacji formalnej, edukacji </w:t>
            </w:r>
            <w:proofErr w:type="spellStart"/>
            <w:r w:rsidRPr="00D17334">
              <w:rPr>
                <w:rFonts w:eastAsia="Times New Roman" w:cstheme="minorHAnsi"/>
                <w:iCs/>
                <w:sz w:val="24"/>
                <w:szCs w:val="24"/>
                <w:lang w:eastAsia="pl-PL"/>
              </w:rPr>
              <w:t>pozaformalnej</w:t>
            </w:r>
            <w:proofErr w:type="spellEnd"/>
            <w:r w:rsidRPr="00D17334">
              <w:rPr>
                <w:rFonts w:eastAsia="Times New Roman" w:cstheme="minorHAnsi"/>
                <w:iCs/>
                <w:sz w:val="24"/>
                <w:szCs w:val="24"/>
                <w:lang w:eastAsia="pl-PL"/>
              </w:rPr>
              <w:t xml:space="preserve"> lub poprzez uczenie się nieformalne, zgodne z ustalonymi dla danej kwalifikacji lub kompetencji wymaganiami. </w:t>
            </w:r>
          </w:p>
          <w:p w14:paraId="1BAAE63B" w14:textId="77777777" w:rsidR="00E514B3" w:rsidRPr="00D17334" w:rsidRDefault="00E514B3" w:rsidP="00510D4C">
            <w:pPr>
              <w:spacing w:before="120" w:after="120"/>
              <w:rPr>
                <w:rFonts w:eastAsia="Times New Roman" w:cstheme="minorHAnsi"/>
                <w:iCs/>
                <w:sz w:val="24"/>
                <w:szCs w:val="24"/>
                <w:lang w:eastAsia="pl-PL"/>
              </w:rPr>
            </w:pPr>
            <w:r w:rsidRPr="00D17334">
              <w:rPr>
                <w:rFonts w:cstheme="minorHAnsi"/>
                <w:iCs/>
                <w:sz w:val="24"/>
                <w:szCs w:val="24"/>
              </w:rPr>
              <w:t xml:space="preserve">Wykazywać należy wyłącznie kwalifikacje lub kompetencje osiągnięte w wyniku </w:t>
            </w:r>
            <w:r w:rsidRPr="00D17334">
              <w:rPr>
                <w:rFonts w:eastAsia="Times New Roman" w:cstheme="minorHAnsi"/>
                <w:iCs/>
                <w:sz w:val="24"/>
                <w:szCs w:val="24"/>
                <w:lang w:eastAsia="pl-PL"/>
              </w:rPr>
              <w:t xml:space="preserve">udziału w projekcie EFS+. Powinny one być wykazywane tylko raz dla uczestnika/projektu. </w:t>
            </w:r>
          </w:p>
          <w:p w14:paraId="064F2BA5"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Do wskaźnika należy wliczać jedynie osoby, które uzyskały kwalifikacje /kompetencje w trakcie lub bezpośrednio po zakończeniu udziału w projekcie, tj. w ciągu czterech tygodni, które minęły od momentu zakończenia udziału w projekcie.</w:t>
            </w:r>
          </w:p>
          <w:p w14:paraId="264A13FD" w14:textId="77777777" w:rsidR="00E514B3" w:rsidRPr="00D17334" w:rsidRDefault="00E514B3" w:rsidP="00510D4C">
            <w:pPr>
              <w:spacing w:before="120" w:after="120"/>
              <w:rPr>
                <w:rFonts w:cstheme="minorHAnsi"/>
                <w:iCs/>
                <w:sz w:val="24"/>
                <w:szCs w:val="24"/>
              </w:rPr>
            </w:pPr>
            <w:r w:rsidRPr="00D17334">
              <w:rPr>
                <w:rFonts w:cstheme="minorHAnsi"/>
                <w:iCs/>
                <w:sz w:val="24"/>
                <w:szCs w:val="24"/>
              </w:rPr>
              <w:t>Jeżeli okres oczekiwania na wyniki walidacji/certyfikacji jest dłuższy niż cztery tygodnie od zakończenia udziału w projekcie, ale egzamin odbył się w trakcie tych czterech tygodni, wówczas można uwzględnić osoby we wskaźniku (po otrzymaniu wyników). We wskaźniku należy uwzględnić jednak tylko te osoby, które otrzymały wyniki do czasu ostatecznego rozliczenia projektu.</w:t>
            </w:r>
          </w:p>
          <w:p w14:paraId="7670EF8D" w14:textId="02ED897C" w:rsidR="00E514B3" w:rsidRPr="00D17334" w:rsidRDefault="00E514B3" w:rsidP="00510D4C">
            <w:pPr>
              <w:spacing w:before="60" w:after="60"/>
              <w:rPr>
                <w:rFonts w:cstheme="minorHAnsi"/>
                <w:iCs/>
                <w:sz w:val="24"/>
                <w:szCs w:val="24"/>
              </w:rPr>
            </w:pPr>
            <w:r w:rsidRPr="00D17334">
              <w:rPr>
                <w:rFonts w:eastAsia="Times New Roman" w:cstheme="minorHAnsi"/>
                <w:iCs/>
                <w:sz w:val="24"/>
                <w:szCs w:val="24"/>
                <w:lang w:eastAsia="pl-PL"/>
              </w:rPr>
              <w:t xml:space="preserve">Dodatkowe informacje na temat monitorowania uzyskiwania kwalifikacji i kompetencji w ramach projektów współfinansowanych z EFS+ zawarte są w załączniku nr 2 do </w:t>
            </w:r>
            <w:r w:rsidRPr="00D17334">
              <w:rPr>
                <w:rFonts w:eastAsia="Times New Roman" w:cstheme="minorHAnsi"/>
                <w:bCs/>
                <w:iCs/>
                <w:sz w:val="24"/>
                <w:szCs w:val="24"/>
                <w:lang w:eastAsia="pl-PL"/>
              </w:rPr>
              <w:t xml:space="preserve">Wytycznych w zakresie </w:t>
            </w:r>
            <w:r w:rsidRPr="00D17334">
              <w:rPr>
                <w:rFonts w:eastAsia="Times New Roman" w:cstheme="minorHAnsi"/>
                <w:bCs/>
                <w:iCs/>
                <w:sz w:val="24"/>
                <w:szCs w:val="24"/>
                <w:lang w:eastAsia="pl-PL"/>
              </w:rPr>
              <w:lastRenderedPageBreak/>
              <w:t>monitorowania postępu rzeczowego realizacji programów operacyjnych na lata 2021-2027.</w:t>
            </w:r>
          </w:p>
        </w:tc>
      </w:tr>
      <w:tr w:rsidR="00E514B3" w:rsidRPr="00D17334" w14:paraId="6E2AB705" w14:textId="77777777" w:rsidTr="004B7D83">
        <w:trPr>
          <w:trHeight w:val="667"/>
          <w:jc w:val="center"/>
        </w:trPr>
        <w:tc>
          <w:tcPr>
            <w:tcW w:w="836" w:type="dxa"/>
            <w:tcBorders>
              <w:left w:val="single" w:sz="12" w:space="0" w:color="92D050"/>
              <w:bottom w:val="single" w:sz="12" w:space="0" w:color="92D050"/>
            </w:tcBorders>
            <w:vAlign w:val="center"/>
          </w:tcPr>
          <w:p w14:paraId="028F6F6F" w14:textId="506FDF07" w:rsidR="00E514B3" w:rsidRPr="00D17334" w:rsidRDefault="00E514B3" w:rsidP="00E514B3">
            <w:pPr>
              <w:tabs>
                <w:tab w:val="left" w:pos="3402"/>
                <w:tab w:val="left" w:pos="5103"/>
              </w:tabs>
              <w:spacing w:before="60" w:after="60"/>
              <w:ind w:left="175"/>
              <w:contextualSpacing/>
              <w:rPr>
                <w:rFonts w:eastAsia="Times New Roman" w:cstheme="minorHAnsi"/>
                <w:iCs/>
                <w:sz w:val="24"/>
                <w:szCs w:val="24"/>
              </w:rPr>
            </w:pPr>
            <w:r w:rsidRPr="00D17334">
              <w:rPr>
                <w:rFonts w:eastAsia="Times New Roman" w:cstheme="minorHAnsi"/>
                <w:iCs/>
                <w:sz w:val="24"/>
                <w:szCs w:val="24"/>
              </w:rPr>
              <w:lastRenderedPageBreak/>
              <w:t>22.</w:t>
            </w:r>
          </w:p>
        </w:tc>
        <w:tc>
          <w:tcPr>
            <w:tcW w:w="3260" w:type="dxa"/>
            <w:tcBorders>
              <w:bottom w:val="single" w:sz="12" w:space="0" w:color="92D050"/>
            </w:tcBorders>
            <w:vAlign w:val="center"/>
          </w:tcPr>
          <w:p w14:paraId="53B29791" w14:textId="1D65D85D"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pracujących, łącznie z prowadzącymi działalność na własny rachunek, po opuszczeniu programu </w:t>
            </w:r>
          </w:p>
        </w:tc>
        <w:tc>
          <w:tcPr>
            <w:tcW w:w="1276" w:type="dxa"/>
            <w:tcBorders>
              <w:bottom w:val="single" w:sz="12" w:space="0" w:color="92D050"/>
            </w:tcBorders>
            <w:vAlign w:val="center"/>
          </w:tcPr>
          <w:p w14:paraId="056D6FE5" w14:textId="672A3C01"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12" w:space="0" w:color="92D050"/>
            </w:tcBorders>
            <w:shd w:val="clear" w:color="auto" w:fill="auto"/>
            <w:vAlign w:val="center"/>
          </w:tcPr>
          <w:p w14:paraId="526A62FB" w14:textId="5A4CD27F"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rezultat bezpośredni</w:t>
            </w:r>
          </w:p>
        </w:tc>
        <w:tc>
          <w:tcPr>
            <w:tcW w:w="1422" w:type="dxa"/>
            <w:tcBorders>
              <w:bottom w:val="single" w:sz="12" w:space="0" w:color="92D050"/>
            </w:tcBorders>
            <w:shd w:val="clear" w:color="auto" w:fill="auto"/>
            <w:vAlign w:val="center"/>
          </w:tcPr>
          <w:p w14:paraId="56641944" w14:textId="50342DB3"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12" w:space="0" w:color="92D050"/>
            </w:tcBorders>
            <w:vAlign w:val="center"/>
          </w:tcPr>
          <w:p w14:paraId="592A16A0" w14:textId="77777777" w:rsidR="00E514B3" w:rsidRPr="00D17334" w:rsidRDefault="00E514B3" w:rsidP="00E514B3">
            <w:pPr>
              <w:tabs>
                <w:tab w:val="left" w:pos="3402"/>
                <w:tab w:val="left" w:pos="5103"/>
              </w:tabs>
              <w:spacing w:before="60" w:after="60"/>
              <w:ind w:left="-8"/>
              <w:contextualSpacing/>
              <w:jc w:val="center"/>
              <w:rPr>
                <w:rFonts w:cstheme="minorHAnsi"/>
                <w:iCs/>
                <w:sz w:val="24"/>
                <w:szCs w:val="24"/>
              </w:rPr>
            </w:pPr>
          </w:p>
        </w:tc>
        <w:tc>
          <w:tcPr>
            <w:tcW w:w="5537" w:type="dxa"/>
            <w:tcBorders>
              <w:bottom w:val="single" w:sz="12" w:space="0" w:color="92D050"/>
              <w:right w:val="single" w:sz="12" w:space="0" w:color="92D050"/>
            </w:tcBorders>
            <w:vAlign w:val="center"/>
          </w:tcPr>
          <w:p w14:paraId="0279AC97"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Do wskaźnika wlicza się osoby bezrobotne lub bierne zawodowo w momencie przystępowania do projektu, które po uzyskaniu wsparcia EFS+ podjęły zatrudnienie (łącznie z prowadzącymi działalność na własny rachunek) i pozostają zatrudnione bezpośrednio po opuszczeniu projektu, tj. do czterech tygodni od zakończenia udziału w projekcie.</w:t>
            </w:r>
          </w:p>
          <w:p w14:paraId="10DEC3AC"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Osoby bezrobotne definiowane są jak we wskaźniku: liczba osób bezrobotnych, w tym długotrwale bezrobotnych, objętych wsparciem w programie (osoby).</w:t>
            </w:r>
          </w:p>
          <w:p w14:paraId="4D055469" w14:textId="77777777" w:rsidR="00E514B3" w:rsidRPr="00D17334" w:rsidRDefault="00E514B3" w:rsidP="00510D4C">
            <w:pPr>
              <w:spacing w:before="120" w:after="120"/>
              <w:rPr>
                <w:rFonts w:eastAsia="Times New Roman" w:cstheme="minorHAnsi"/>
                <w:iCs/>
                <w:sz w:val="24"/>
                <w:szCs w:val="24"/>
                <w:lang w:eastAsia="pl-PL"/>
              </w:rPr>
            </w:pPr>
            <w:r w:rsidRPr="00D17334">
              <w:rPr>
                <w:rFonts w:eastAsia="Times New Roman" w:cstheme="minorHAnsi"/>
                <w:iCs/>
                <w:sz w:val="24"/>
                <w:szCs w:val="24"/>
                <w:lang w:eastAsia="pl-PL"/>
              </w:rPr>
              <w:t>Osoby bierne zawodowo definiowane są jak we wskaźniku: liczba osób biernych zawodowo objętych wsparciem w programie (osoby).</w:t>
            </w:r>
          </w:p>
          <w:p w14:paraId="60841017" w14:textId="77777777" w:rsidR="00E514B3" w:rsidRPr="00D17334" w:rsidRDefault="00E514B3" w:rsidP="00510D4C">
            <w:pPr>
              <w:pStyle w:val="Akapitzlist"/>
              <w:spacing w:before="120" w:after="120"/>
              <w:ind w:left="0"/>
              <w:contextualSpacing w:val="0"/>
              <w:rPr>
                <w:rStyle w:val="Hipercze"/>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Definicja pracujących, łącznie z prowadzącymi działalność na własny rachunek, jak we wskaźniku: liczba osób pracujących, łącznie z prowadzącymi działalność na własny rachunek, objętych wsparciem w programie (osoby).</w:t>
            </w:r>
          </w:p>
          <w:p w14:paraId="456A3B4A" w14:textId="77777777" w:rsidR="00E514B3" w:rsidRPr="00D17334" w:rsidRDefault="00E514B3" w:rsidP="00510D4C">
            <w:pPr>
              <w:pStyle w:val="Akapitzlist"/>
              <w:spacing w:before="120" w:after="120"/>
              <w:ind w:left="0"/>
              <w:rPr>
                <w:rFonts w:asciiTheme="minorHAnsi" w:hAnsiTheme="minorHAnsi" w:cstheme="minorHAnsi"/>
                <w:iCs/>
                <w:sz w:val="24"/>
                <w:szCs w:val="24"/>
              </w:rPr>
            </w:pPr>
            <w:r w:rsidRPr="00D17334">
              <w:rPr>
                <w:rFonts w:asciiTheme="minorHAnsi" w:hAnsiTheme="minorHAnsi" w:cstheme="minorHAnsi"/>
                <w:iCs/>
                <w:sz w:val="24"/>
                <w:szCs w:val="24"/>
              </w:rPr>
              <w:t xml:space="preserve">Wskaźnik należy rozumieć jako zmianę statusu na rynku pracy po opuszczeniu programu, w stosunku do sytuacji w momencie przystąpienia do interwencji EFS+ (uczestnik bezrobotny lub bierny zawodowo w </w:t>
            </w:r>
            <w:r w:rsidRPr="00D17334">
              <w:rPr>
                <w:rFonts w:asciiTheme="minorHAnsi" w:hAnsiTheme="minorHAnsi" w:cstheme="minorHAnsi"/>
                <w:iCs/>
                <w:sz w:val="24"/>
                <w:szCs w:val="24"/>
              </w:rPr>
              <w:lastRenderedPageBreak/>
              <w:t xml:space="preserve">chwili wejścia do programu EFS+, a w ciągu czterech tygodni po opuszczeniu projektu – osoba pracująca). </w:t>
            </w:r>
          </w:p>
          <w:p w14:paraId="3EB2D88F" w14:textId="1771662B" w:rsidR="00E514B3" w:rsidRPr="00D17334" w:rsidRDefault="00E514B3" w:rsidP="00E514B3">
            <w:pPr>
              <w:spacing w:before="60" w:after="60"/>
              <w:rPr>
                <w:rFonts w:cstheme="minorHAnsi"/>
                <w:iCs/>
                <w:sz w:val="24"/>
                <w:szCs w:val="24"/>
              </w:rPr>
            </w:pPr>
            <w:r w:rsidRPr="00D17334">
              <w:rPr>
                <w:rFonts w:cstheme="minorHAnsi"/>
                <w:iCs/>
                <w:sz w:val="24"/>
                <w:szCs w:val="24"/>
              </w:rPr>
              <w:t>Wskaźnik mierzony do czterech tygodni od zakończenia przez uczestnika udziału w projekcie. Tym samym, we wskaźniku należy uwzględniać wszystkie osoby, które w okresie do czterech tygodni po zakończeniu udziału w projekcie podjęły zatrudnienie.</w:t>
            </w:r>
          </w:p>
        </w:tc>
      </w:tr>
      <w:tr w:rsidR="00E514B3" w:rsidRPr="0042768F" w14:paraId="4D90EC4A" w14:textId="77777777" w:rsidTr="004B7D83">
        <w:trPr>
          <w:trHeight w:val="399"/>
          <w:jc w:val="center"/>
        </w:trPr>
        <w:tc>
          <w:tcPr>
            <w:tcW w:w="15578" w:type="dxa"/>
            <w:gridSpan w:val="7"/>
            <w:tcBorders>
              <w:top w:val="single" w:sz="12" w:space="0" w:color="92D050"/>
              <w:left w:val="single" w:sz="12" w:space="0" w:color="92D050"/>
              <w:bottom w:val="single" w:sz="12" w:space="0" w:color="92D050"/>
              <w:right w:val="single" w:sz="12" w:space="0" w:color="92D050"/>
            </w:tcBorders>
            <w:vAlign w:val="center"/>
          </w:tcPr>
          <w:p w14:paraId="690DB2CA" w14:textId="781A1AC5" w:rsidR="00E514B3" w:rsidRPr="0042768F" w:rsidRDefault="00E514B3" w:rsidP="00E514B3">
            <w:pPr>
              <w:tabs>
                <w:tab w:val="left" w:pos="3402"/>
                <w:tab w:val="left" w:pos="5103"/>
              </w:tabs>
              <w:spacing w:before="60" w:after="60"/>
              <w:contextualSpacing/>
              <w:rPr>
                <w:rFonts w:cstheme="minorHAnsi"/>
                <w:b/>
                <w:iCs/>
                <w:color w:val="0070C0"/>
                <w:sz w:val="32"/>
                <w:szCs w:val="32"/>
              </w:rPr>
            </w:pPr>
            <w:r w:rsidRPr="0042768F">
              <w:rPr>
                <w:rFonts w:cstheme="minorHAnsi"/>
                <w:b/>
                <w:iCs/>
                <w:color w:val="0070C0"/>
                <w:sz w:val="32"/>
                <w:szCs w:val="32"/>
              </w:rPr>
              <w:lastRenderedPageBreak/>
              <w:t>Priorytet 7</w:t>
            </w:r>
            <w:r w:rsidR="0042768F">
              <w:rPr>
                <w:rFonts w:cstheme="minorHAnsi"/>
                <w:b/>
                <w:iCs/>
                <w:color w:val="0070C0"/>
                <w:sz w:val="32"/>
                <w:szCs w:val="32"/>
              </w:rPr>
              <w:t>:</w:t>
            </w:r>
            <w:r w:rsidRPr="0042768F">
              <w:rPr>
                <w:rFonts w:cstheme="minorHAnsi"/>
                <w:b/>
                <w:iCs/>
                <w:color w:val="0070C0"/>
                <w:sz w:val="32"/>
                <w:szCs w:val="32"/>
              </w:rPr>
              <w:t xml:space="preserve"> Fundusze Europejskie wspierające usługi społeczne i zdrowotne w opolskim</w:t>
            </w:r>
          </w:p>
        </w:tc>
      </w:tr>
      <w:tr w:rsidR="00E514B3" w:rsidRPr="0042768F" w14:paraId="3B935CEF" w14:textId="77777777" w:rsidTr="004B7D83">
        <w:trPr>
          <w:trHeight w:val="419"/>
          <w:jc w:val="center"/>
        </w:trPr>
        <w:tc>
          <w:tcPr>
            <w:tcW w:w="15578" w:type="dxa"/>
            <w:gridSpan w:val="7"/>
            <w:tcBorders>
              <w:top w:val="single" w:sz="12" w:space="0" w:color="92D050"/>
              <w:left w:val="single" w:sz="12" w:space="0" w:color="92D050"/>
              <w:bottom w:val="single" w:sz="12" w:space="0" w:color="92D050"/>
              <w:right w:val="single" w:sz="12" w:space="0" w:color="92D050"/>
            </w:tcBorders>
            <w:vAlign w:val="center"/>
          </w:tcPr>
          <w:p w14:paraId="23B39622" w14:textId="57AFACA7" w:rsidR="00E514B3" w:rsidRPr="0042768F" w:rsidRDefault="00E514B3" w:rsidP="00E514B3">
            <w:pPr>
              <w:tabs>
                <w:tab w:val="left" w:pos="3402"/>
                <w:tab w:val="left" w:pos="5103"/>
              </w:tabs>
              <w:spacing w:before="60" w:after="60"/>
              <w:contextualSpacing/>
              <w:rPr>
                <w:rFonts w:cstheme="minorHAnsi"/>
                <w:b/>
                <w:iCs/>
                <w:color w:val="0070C0"/>
                <w:sz w:val="32"/>
                <w:szCs w:val="32"/>
              </w:rPr>
            </w:pPr>
            <w:r w:rsidRPr="0042768F">
              <w:rPr>
                <w:rFonts w:cstheme="minorHAnsi"/>
                <w:b/>
                <w:iCs/>
                <w:color w:val="0070C0"/>
                <w:sz w:val="32"/>
                <w:szCs w:val="32"/>
              </w:rPr>
              <w:t>Działanie 7.1 Usługi zdrowotne i społeczne oraz opieka długoterminowa</w:t>
            </w:r>
          </w:p>
        </w:tc>
      </w:tr>
      <w:tr w:rsidR="00E514B3" w:rsidRPr="00D17334" w14:paraId="0F950B12" w14:textId="77777777" w:rsidTr="004B7D83">
        <w:trPr>
          <w:trHeight w:val="667"/>
          <w:jc w:val="center"/>
        </w:trPr>
        <w:tc>
          <w:tcPr>
            <w:tcW w:w="836" w:type="dxa"/>
            <w:tcBorders>
              <w:top w:val="single" w:sz="12" w:space="0" w:color="92D050"/>
              <w:left w:val="single" w:sz="12" w:space="0" w:color="92D050"/>
              <w:bottom w:val="single" w:sz="4" w:space="0" w:color="92D050"/>
            </w:tcBorders>
            <w:vAlign w:val="center"/>
          </w:tcPr>
          <w:p w14:paraId="4DD4D091" w14:textId="576060A7" w:rsidR="00E514B3" w:rsidRPr="0042768F" w:rsidRDefault="00E514B3" w:rsidP="00E514B3">
            <w:pPr>
              <w:tabs>
                <w:tab w:val="left" w:pos="3402"/>
                <w:tab w:val="left" w:pos="5103"/>
              </w:tabs>
              <w:spacing w:before="60" w:after="60"/>
              <w:ind w:left="175"/>
              <w:contextualSpacing/>
              <w:rPr>
                <w:rFonts w:eastAsia="Times New Roman" w:cstheme="minorHAnsi"/>
                <w:iCs/>
                <w:sz w:val="24"/>
                <w:szCs w:val="24"/>
              </w:rPr>
            </w:pPr>
            <w:r w:rsidRPr="0042768F">
              <w:rPr>
                <w:rFonts w:eastAsia="Times New Roman" w:cstheme="minorHAnsi"/>
                <w:iCs/>
                <w:sz w:val="24"/>
                <w:szCs w:val="24"/>
              </w:rPr>
              <w:t>1.</w:t>
            </w:r>
          </w:p>
        </w:tc>
        <w:tc>
          <w:tcPr>
            <w:tcW w:w="3260" w:type="dxa"/>
            <w:tcBorders>
              <w:top w:val="single" w:sz="12" w:space="0" w:color="92D050"/>
              <w:bottom w:val="single" w:sz="4" w:space="0" w:color="92D050"/>
            </w:tcBorders>
            <w:vAlign w:val="center"/>
          </w:tcPr>
          <w:p w14:paraId="78523153" w14:textId="3A8621A7" w:rsidR="00E514B3" w:rsidRPr="0042768F" w:rsidRDefault="00E514B3" w:rsidP="00E514B3">
            <w:pPr>
              <w:tabs>
                <w:tab w:val="left" w:pos="3402"/>
                <w:tab w:val="left" w:pos="5103"/>
              </w:tabs>
              <w:spacing w:before="60" w:after="60"/>
              <w:rPr>
                <w:rFonts w:cstheme="minorHAnsi"/>
                <w:iCs/>
                <w:sz w:val="24"/>
                <w:szCs w:val="24"/>
              </w:rPr>
            </w:pPr>
            <w:r w:rsidRPr="0042768F">
              <w:rPr>
                <w:rFonts w:cstheme="minorHAnsi"/>
                <w:iCs/>
                <w:sz w:val="24"/>
                <w:szCs w:val="24"/>
              </w:rPr>
              <w:t>Liczba objętych wsparciem podmiotów administracji publicznej lub służb publicznych na szczeblu krajowym, regionalnym lub lokalnym</w:t>
            </w:r>
          </w:p>
        </w:tc>
        <w:tc>
          <w:tcPr>
            <w:tcW w:w="1276" w:type="dxa"/>
            <w:tcBorders>
              <w:top w:val="single" w:sz="12" w:space="0" w:color="92D050"/>
              <w:bottom w:val="single" w:sz="4" w:space="0" w:color="92D050"/>
            </w:tcBorders>
            <w:vAlign w:val="center"/>
          </w:tcPr>
          <w:p w14:paraId="043B3784" w14:textId="46C5D21E"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podmioty</w:t>
            </w:r>
          </w:p>
        </w:tc>
        <w:tc>
          <w:tcPr>
            <w:tcW w:w="1413" w:type="dxa"/>
            <w:tcBorders>
              <w:top w:val="single" w:sz="12" w:space="0" w:color="92D050"/>
              <w:bottom w:val="single" w:sz="4" w:space="0" w:color="92D050"/>
            </w:tcBorders>
            <w:shd w:val="clear" w:color="auto" w:fill="auto"/>
            <w:vAlign w:val="center"/>
          </w:tcPr>
          <w:p w14:paraId="6ECD67E4" w14:textId="2E1AA98F"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top w:val="single" w:sz="12" w:space="0" w:color="92D050"/>
              <w:bottom w:val="single" w:sz="4" w:space="0" w:color="92D050"/>
            </w:tcBorders>
            <w:shd w:val="clear" w:color="auto" w:fill="auto"/>
            <w:vAlign w:val="center"/>
          </w:tcPr>
          <w:p w14:paraId="591784B9" w14:textId="4FE79290"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top w:val="single" w:sz="12" w:space="0" w:color="92D050"/>
              <w:bottom w:val="single" w:sz="4" w:space="0" w:color="92D050"/>
            </w:tcBorders>
            <w:vAlign w:val="center"/>
          </w:tcPr>
          <w:p w14:paraId="764B8073" w14:textId="01EE8053" w:rsidR="00E514B3" w:rsidRPr="00D17334" w:rsidRDefault="00E514B3" w:rsidP="00E514B3">
            <w:pPr>
              <w:tabs>
                <w:tab w:val="left" w:pos="3402"/>
                <w:tab w:val="left" w:pos="5103"/>
              </w:tabs>
              <w:spacing w:before="60" w:after="60"/>
              <w:ind w:left="-8"/>
              <w:contextualSpacing/>
              <w:jc w:val="center"/>
              <w:rPr>
                <w:rFonts w:eastAsia="Calibri" w:cstheme="minorHAnsi"/>
                <w:iCs/>
                <w:sz w:val="24"/>
                <w:szCs w:val="24"/>
              </w:rPr>
            </w:pPr>
            <w:r w:rsidRPr="00D17334">
              <w:rPr>
                <w:rFonts w:cstheme="minorHAnsi"/>
                <w:iCs/>
                <w:sz w:val="24"/>
                <w:szCs w:val="24"/>
              </w:rPr>
              <w:t>-</w:t>
            </w:r>
          </w:p>
        </w:tc>
        <w:tc>
          <w:tcPr>
            <w:tcW w:w="5537" w:type="dxa"/>
            <w:tcBorders>
              <w:top w:val="single" w:sz="12" w:space="0" w:color="92D050"/>
              <w:bottom w:val="single" w:sz="4" w:space="0" w:color="92D050"/>
              <w:right w:val="single" w:sz="12" w:space="0" w:color="92D050"/>
            </w:tcBorders>
            <w:vAlign w:val="center"/>
          </w:tcPr>
          <w:p w14:paraId="498BB469" w14:textId="0D69886B" w:rsidR="00E514B3" w:rsidRPr="00D17334" w:rsidRDefault="00E514B3" w:rsidP="00E514B3">
            <w:pPr>
              <w:tabs>
                <w:tab w:val="left" w:pos="3402"/>
                <w:tab w:val="left" w:pos="5103"/>
              </w:tabs>
              <w:spacing w:before="60" w:after="60"/>
              <w:ind w:left="-8"/>
              <w:contextualSpacing/>
              <w:rPr>
                <w:rFonts w:cstheme="minorHAnsi"/>
                <w:iCs/>
                <w:color w:val="000000"/>
                <w:sz w:val="24"/>
                <w:szCs w:val="24"/>
              </w:rPr>
            </w:pPr>
            <w:r w:rsidRPr="00D17334">
              <w:rPr>
                <w:rFonts w:eastAsia="Calibri" w:cstheme="minorHAnsi"/>
                <w:iCs/>
                <w:sz w:val="24"/>
                <w:szCs w:val="24"/>
              </w:rPr>
              <w:t>Definicja jak we wskaźniku wspólnym</w:t>
            </w:r>
          </w:p>
        </w:tc>
      </w:tr>
      <w:tr w:rsidR="00E514B3" w:rsidRPr="00D17334" w14:paraId="4C1A4A96" w14:textId="77777777" w:rsidTr="004B7D83">
        <w:trPr>
          <w:trHeight w:val="667"/>
          <w:jc w:val="center"/>
        </w:trPr>
        <w:tc>
          <w:tcPr>
            <w:tcW w:w="836" w:type="dxa"/>
            <w:tcBorders>
              <w:top w:val="single" w:sz="12" w:space="0" w:color="92D050"/>
              <w:left w:val="single" w:sz="12" w:space="0" w:color="92D050"/>
              <w:bottom w:val="single" w:sz="4" w:space="0" w:color="92D050"/>
            </w:tcBorders>
            <w:vAlign w:val="center"/>
          </w:tcPr>
          <w:p w14:paraId="0F472A00" w14:textId="27AC3FED" w:rsidR="00E514B3" w:rsidRPr="0042768F" w:rsidRDefault="00E514B3" w:rsidP="00E514B3">
            <w:pPr>
              <w:tabs>
                <w:tab w:val="left" w:pos="3402"/>
                <w:tab w:val="left" w:pos="5103"/>
              </w:tabs>
              <w:spacing w:before="60" w:after="60"/>
              <w:ind w:left="175"/>
              <w:contextualSpacing/>
              <w:rPr>
                <w:rFonts w:eastAsia="Times New Roman" w:cstheme="minorHAnsi"/>
                <w:iCs/>
                <w:sz w:val="24"/>
                <w:szCs w:val="24"/>
              </w:rPr>
            </w:pPr>
            <w:r w:rsidRPr="0042768F">
              <w:rPr>
                <w:rFonts w:eastAsia="Times New Roman" w:cstheme="minorHAnsi"/>
                <w:iCs/>
                <w:sz w:val="24"/>
                <w:szCs w:val="24"/>
              </w:rPr>
              <w:t xml:space="preserve">2. </w:t>
            </w:r>
          </w:p>
        </w:tc>
        <w:tc>
          <w:tcPr>
            <w:tcW w:w="3260" w:type="dxa"/>
            <w:tcBorders>
              <w:top w:val="single" w:sz="12" w:space="0" w:color="92D050"/>
              <w:bottom w:val="single" w:sz="4" w:space="0" w:color="92D050"/>
            </w:tcBorders>
            <w:vAlign w:val="center"/>
          </w:tcPr>
          <w:p w14:paraId="3822F540" w14:textId="44D9C494" w:rsidR="00E514B3" w:rsidRPr="0042768F" w:rsidRDefault="00E514B3" w:rsidP="00E514B3">
            <w:pPr>
              <w:tabs>
                <w:tab w:val="left" w:pos="3402"/>
                <w:tab w:val="left" w:pos="5103"/>
              </w:tabs>
              <w:spacing w:before="60" w:after="60"/>
              <w:rPr>
                <w:rFonts w:cstheme="minorHAnsi"/>
                <w:iCs/>
                <w:sz w:val="24"/>
                <w:szCs w:val="24"/>
              </w:rPr>
            </w:pPr>
            <w:r w:rsidRPr="0042768F">
              <w:rPr>
                <w:rFonts w:cstheme="minorHAnsi"/>
                <w:iCs/>
                <w:sz w:val="24"/>
                <w:szCs w:val="24"/>
              </w:rPr>
              <w:t>Liczba objętych wsparciem mikro-, małych i średnich przedsiębiorstw (w tym spółdzielni i przedsiębiorstw społecznych</w:t>
            </w:r>
            <w:r w:rsidRPr="0042768F">
              <w:rPr>
                <w:rFonts w:ascii="Arial" w:hAnsi="Arial" w:cs="Arial"/>
                <w:iCs/>
                <w:sz w:val="20"/>
                <w:szCs w:val="20"/>
              </w:rPr>
              <w:t>)</w:t>
            </w:r>
          </w:p>
        </w:tc>
        <w:tc>
          <w:tcPr>
            <w:tcW w:w="1276" w:type="dxa"/>
            <w:tcBorders>
              <w:top w:val="single" w:sz="12" w:space="0" w:color="92D050"/>
              <w:bottom w:val="single" w:sz="4" w:space="0" w:color="92D050"/>
            </w:tcBorders>
            <w:vAlign w:val="center"/>
          </w:tcPr>
          <w:p w14:paraId="30277B62" w14:textId="5114BF63" w:rsidR="00E514B3" w:rsidRPr="00D17334" w:rsidRDefault="00E514B3" w:rsidP="00E514B3">
            <w:pPr>
              <w:tabs>
                <w:tab w:val="left" w:pos="3402"/>
                <w:tab w:val="left" w:pos="5103"/>
              </w:tabs>
              <w:spacing w:before="60" w:after="60"/>
              <w:jc w:val="center"/>
              <w:rPr>
                <w:rFonts w:cstheme="minorHAnsi"/>
                <w:iCs/>
                <w:sz w:val="24"/>
                <w:szCs w:val="24"/>
              </w:rPr>
            </w:pPr>
            <w:proofErr w:type="spellStart"/>
            <w:r w:rsidRPr="00D17334">
              <w:rPr>
                <w:rFonts w:cstheme="minorHAnsi"/>
                <w:iCs/>
                <w:sz w:val="24"/>
                <w:szCs w:val="24"/>
              </w:rPr>
              <w:t>przedsię</w:t>
            </w:r>
            <w:proofErr w:type="spellEnd"/>
            <w:r w:rsidRPr="00D17334">
              <w:rPr>
                <w:rFonts w:cstheme="minorHAnsi"/>
                <w:iCs/>
                <w:sz w:val="24"/>
                <w:szCs w:val="24"/>
              </w:rPr>
              <w:t>-biorstwa</w:t>
            </w:r>
          </w:p>
        </w:tc>
        <w:tc>
          <w:tcPr>
            <w:tcW w:w="1413" w:type="dxa"/>
            <w:tcBorders>
              <w:top w:val="single" w:sz="12" w:space="0" w:color="92D050"/>
              <w:bottom w:val="single" w:sz="4" w:space="0" w:color="92D050"/>
            </w:tcBorders>
            <w:shd w:val="clear" w:color="auto" w:fill="auto"/>
            <w:vAlign w:val="center"/>
          </w:tcPr>
          <w:p w14:paraId="75B51DFD" w14:textId="3CAA430E"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top w:val="single" w:sz="12" w:space="0" w:color="92D050"/>
              <w:bottom w:val="single" w:sz="4" w:space="0" w:color="92D050"/>
            </w:tcBorders>
            <w:shd w:val="clear" w:color="auto" w:fill="auto"/>
            <w:vAlign w:val="center"/>
          </w:tcPr>
          <w:p w14:paraId="404C6660" w14:textId="6ADB4E6B"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top w:val="single" w:sz="12" w:space="0" w:color="92D050"/>
              <w:bottom w:val="single" w:sz="4" w:space="0" w:color="92D050"/>
            </w:tcBorders>
            <w:vAlign w:val="center"/>
          </w:tcPr>
          <w:p w14:paraId="4E004744" w14:textId="7A5C5302" w:rsidR="00E514B3" w:rsidRPr="00D17334" w:rsidRDefault="00E514B3" w:rsidP="00E514B3">
            <w:pPr>
              <w:tabs>
                <w:tab w:val="left" w:pos="3402"/>
                <w:tab w:val="left" w:pos="5103"/>
              </w:tabs>
              <w:spacing w:before="60" w:after="60"/>
              <w:ind w:left="-8"/>
              <w:contextualSpacing/>
              <w:jc w:val="center"/>
              <w:rPr>
                <w:rFonts w:eastAsia="Calibri" w:cstheme="minorHAnsi"/>
                <w:iCs/>
                <w:sz w:val="24"/>
                <w:szCs w:val="24"/>
              </w:rPr>
            </w:pPr>
            <w:r w:rsidRPr="00D17334">
              <w:rPr>
                <w:rFonts w:cstheme="minorHAnsi"/>
                <w:iCs/>
                <w:sz w:val="24"/>
                <w:szCs w:val="24"/>
              </w:rPr>
              <w:t>-</w:t>
            </w:r>
          </w:p>
        </w:tc>
        <w:tc>
          <w:tcPr>
            <w:tcW w:w="5537" w:type="dxa"/>
            <w:tcBorders>
              <w:top w:val="single" w:sz="12" w:space="0" w:color="92D050"/>
              <w:bottom w:val="single" w:sz="4" w:space="0" w:color="92D050"/>
              <w:right w:val="single" w:sz="12" w:space="0" w:color="92D050"/>
            </w:tcBorders>
            <w:vAlign w:val="center"/>
          </w:tcPr>
          <w:p w14:paraId="7BBAE619" w14:textId="200FAF04" w:rsidR="00E514B3" w:rsidRPr="00D17334" w:rsidRDefault="00E514B3" w:rsidP="00E514B3">
            <w:pPr>
              <w:tabs>
                <w:tab w:val="left" w:pos="3402"/>
                <w:tab w:val="left" w:pos="5103"/>
              </w:tabs>
              <w:spacing w:before="60" w:after="60"/>
              <w:ind w:left="-8"/>
              <w:contextualSpacing/>
              <w:rPr>
                <w:rFonts w:cstheme="minorHAnsi"/>
                <w:iCs/>
                <w:color w:val="000000"/>
                <w:sz w:val="24"/>
                <w:szCs w:val="24"/>
              </w:rPr>
            </w:pPr>
            <w:r w:rsidRPr="00D17334">
              <w:rPr>
                <w:rFonts w:eastAsia="Calibri" w:cstheme="minorHAnsi"/>
                <w:iCs/>
                <w:sz w:val="24"/>
                <w:szCs w:val="24"/>
              </w:rPr>
              <w:t>Definicja jak we wskaźniku wspólnym</w:t>
            </w:r>
          </w:p>
        </w:tc>
      </w:tr>
      <w:tr w:rsidR="00E514B3" w:rsidRPr="00D17334" w14:paraId="74DFB172" w14:textId="77777777" w:rsidTr="004B7D83">
        <w:trPr>
          <w:trHeight w:val="667"/>
          <w:jc w:val="center"/>
        </w:trPr>
        <w:tc>
          <w:tcPr>
            <w:tcW w:w="836" w:type="dxa"/>
            <w:tcBorders>
              <w:left w:val="single" w:sz="12" w:space="0" w:color="92D050"/>
              <w:bottom w:val="single" w:sz="4" w:space="0" w:color="92D050"/>
            </w:tcBorders>
            <w:vAlign w:val="center"/>
          </w:tcPr>
          <w:p w14:paraId="777CE129" w14:textId="2B508344" w:rsidR="00E514B3" w:rsidRPr="00D17334" w:rsidRDefault="0058168D" w:rsidP="00E514B3">
            <w:pPr>
              <w:tabs>
                <w:tab w:val="left" w:pos="3402"/>
                <w:tab w:val="left" w:pos="5103"/>
              </w:tabs>
              <w:spacing w:before="60" w:after="60"/>
              <w:ind w:left="175"/>
              <w:contextualSpacing/>
              <w:rPr>
                <w:rFonts w:eastAsia="Times New Roman" w:cstheme="minorHAnsi"/>
                <w:iCs/>
                <w:sz w:val="24"/>
                <w:szCs w:val="24"/>
              </w:rPr>
            </w:pPr>
            <w:r>
              <w:rPr>
                <w:rFonts w:eastAsia="Times New Roman" w:cstheme="minorHAnsi"/>
                <w:iCs/>
                <w:sz w:val="24"/>
                <w:szCs w:val="24"/>
              </w:rPr>
              <w:t>3</w:t>
            </w:r>
            <w:r w:rsidR="00E514B3" w:rsidRPr="00D17334">
              <w:rPr>
                <w:rFonts w:eastAsia="Times New Roman" w:cstheme="minorHAnsi"/>
                <w:iCs/>
                <w:sz w:val="24"/>
                <w:szCs w:val="24"/>
              </w:rPr>
              <w:t>.</w:t>
            </w:r>
          </w:p>
        </w:tc>
        <w:tc>
          <w:tcPr>
            <w:tcW w:w="3260" w:type="dxa"/>
            <w:tcBorders>
              <w:bottom w:val="single" w:sz="4" w:space="0" w:color="92D050"/>
            </w:tcBorders>
            <w:vAlign w:val="center"/>
          </w:tcPr>
          <w:p w14:paraId="0CD6E300" w14:textId="1E3BAC23"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 xml:space="preserve">Liczba osób objętych usługami świadczonymi w społeczności lokalnej w programie </w:t>
            </w:r>
          </w:p>
        </w:tc>
        <w:tc>
          <w:tcPr>
            <w:tcW w:w="1276" w:type="dxa"/>
            <w:tcBorders>
              <w:bottom w:val="single" w:sz="4" w:space="0" w:color="92D050"/>
            </w:tcBorders>
            <w:vAlign w:val="center"/>
          </w:tcPr>
          <w:p w14:paraId="2ACF2947" w14:textId="3DF8EE19"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bottom w:val="single" w:sz="4" w:space="0" w:color="92D050"/>
            </w:tcBorders>
            <w:shd w:val="clear" w:color="auto" w:fill="auto"/>
            <w:vAlign w:val="center"/>
          </w:tcPr>
          <w:p w14:paraId="686F5E0F" w14:textId="11D30063"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bottom w:val="single" w:sz="4" w:space="0" w:color="92D050"/>
            </w:tcBorders>
            <w:shd w:val="clear" w:color="auto" w:fill="auto"/>
            <w:vAlign w:val="center"/>
          </w:tcPr>
          <w:p w14:paraId="13785A6A" w14:textId="66C29E7E"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bottom w:val="single" w:sz="4" w:space="0" w:color="92D050"/>
            </w:tcBorders>
            <w:vAlign w:val="center"/>
          </w:tcPr>
          <w:p w14:paraId="0B315CBE" w14:textId="53474162" w:rsidR="00E514B3" w:rsidRPr="00D17334" w:rsidRDefault="00E514B3" w:rsidP="00E514B3">
            <w:pPr>
              <w:tabs>
                <w:tab w:val="left" w:pos="3402"/>
                <w:tab w:val="left" w:pos="5103"/>
              </w:tabs>
              <w:spacing w:before="60" w:after="60"/>
              <w:ind w:left="-8"/>
              <w:contextualSpacing/>
              <w:jc w:val="center"/>
              <w:rPr>
                <w:rFonts w:eastAsia="Calibri" w:cstheme="minorHAnsi"/>
                <w:iCs/>
                <w:sz w:val="24"/>
                <w:szCs w:val="24"/>
              </w:rPr>
            </w:pPr>
            <w:r w:rsidRPr="00D17334">
              <w:rPr>
                <w:rFonts w:eastAsia="Calibri" w:cstheme="minorHAnsi"/>
                <w:iCs/>
                <w:sz w:val="24"/>
                <w:szCs w:val="24"/>
              </w:rPr>
              <w:t>programowy</w:t>
            </w:r>
          </w:p>
        </w:tc>
        <w:tc>
          <w:tcPr>
            <w:tcW w:w="5537" w:type="dxa"/>
            <w:tcBorders>
              <w:bottom w:val="single" w:sz="4" w:space="0" w:color="92D050"/>
              <w:right w:val="single" w:sz="12" w:space="0" w:color="92D050"/>
            </w:tcBorders>
            <w:vAlign w:val="center"/>
          </w:tcPr>
          <w:p w14:paraId="49760248" w14:textId="77777777" w:rsidR="00E514B3" w:rsidRPr="00D17334" w:rsidRDefault="00E514B3" w:rsidP="00E514B3">
            <w:pPr>
              <w:spacing w:after="120"/>
              <w:rPr>
                <w:rFonts w:eastAsia="Times New Roman" w:cstheme="minorHAnsi"/>
                <w:iCs/>
                <w:sz w:val="24"/>
                <w:szCs w:val="24"/>
                <w:lang w:eastAsia="pl-PL"/>
              </w:rPr>
            </w:pPr>
            <w:r w:rsidRPr="00D17334">
              <w:rPr>
                <w:rFonts w:eastAsia="Times New Roman" w:cstheme="minorHAnsi"/>
                <w:iCs/>
                <w:sz w:val="24"/>
                <w:szCs w:val="24"/>
                <w:lang w:eastAsia="pl-PL"/>
              </w:rPr>
              <w:t>Wskaźnik obejmuje osoby, które rozpoczęły udział w projektach przewidujących wsparcie w postaci usług społecznych lub zdrowotnych jako odbiorcy tych usług.</w:t>
            </w:r>
          </w:p>
          <w:p w14:paraId="3F95B763" w14:textId="15BE12B1" w:rsidR="00E514B3" w:rsidRPr="00D17334" w:rsidRDefault="00E514B3" w:rsidP="00A67B94">
            <w:pPr>
              <w:spacing w:after="120"/>
              <w:rPr>
                <w:rFonts w:eastAsia="Times New Roman" w:cstheme="minorHAnsi"/>
                <w:iCs/>
                <w:sz w:val="24"/>
                <w:szCs w:val="24"/>
                <w:lang w:eastAsia="pl-PL"/>
              </w:rPr>
            </w:pPr>
            <w:r w:rsidRPr="00D17334">
              <w:rPr>
                <w:rFonts w:eastAsia="Times New Roman" w:cstheme="minorHAnsi"/>
                <w:iCs/>
                <w:sz w:val="24"/>
                <w:szCs w:val="24"/>
                <w:lang w:eastAsia="pl-PL"/>
              </w:rPr>
              <w:lastRenderedPageBreak/>
              <w:t xml:space="preserve">Usługi świadczone w społeczności lokalnej należy rozumieć  zgodnie z definicją wskazaną w wytycznych dotyczących realizacji projektów z udziałem środków EFS+ wydanych przez ministra właściwego ds. rozwoju regionalnego. </w:t>
            </w:r>
          </w:p>
          <w:p w14:paraId="7FBF9C64" w14:textId="4260B093" w:rsidR="00E514B3" w:rsidRPr="00D17334" w:rsidRDefault="00E514B3" w:rsidP="00A67B94">
            <w:pPr>
              <w:tabs>
                <w:tab w:val="left" w:pos="3402"/>
                <w:tab w:val="left" w:pos="5103"/>
              </w:tabs>
              <w:spacing w:before="60" w:after="120"/>
              <w:ind w:left="-8"/>
              <w:contextualSpacing/>
              <w:rPr>
                <w:rFonts w:cstheme="minorHAnsi"/>
                <w:iCs/>
                <w:color w:val="000000"/>
                <w:sz w:val="24"/>
                <w:szCs w:val="24"/>
              </w:rPr>
            </w:pPr>
            <w:r w:rsidRPr="00D17334">
              <w:rPr>
                <w:rFonts w:eastAsia="Times New Roman" w:cstheme="minorHAnsi"/>
                <w:iCs/>
                <w:sz w:val="24"/>
                <w:szCs w:val="24"/>
                <w:lang w:eastAsia="pl-PL"/>
              </w:rPr>
              <w:t>We wskaźniku nie są uwzględniane osoby objęte</w:t>
            </w:r>
            <w:r w:rsidRPr="00D17334">
              <w:rPr>
                <w:rFonts w:cstheme="minorHAnsi"/>
                <w:iCs/>
                <w:sz w:val="24"/>
                <w:szCs w:val="24"/>
              </w:rPr>
              <w:t xml:space="preserve"> usługami w zakresie wspierania rodziny i pieczy zastępczej monitorowane we wskaźniku: Liczba osób objętych usługami w zakresie wspierania rodziny i pieczy zastępczej.</w:t>
            </w:r>
          </w:p>
        </w:tc>
      </w:tr>
      <w:tr w:rsidR="00E514B3" w:rsidRPr="00D17334" w14:paraId="3F15AD2A" w14:textId="77777777" w:rsidTr="004B7D83">
        <w:trPr>
          <w:trHeight w:val="726"/>
          <w:jc w:val="center"/>
        </w:trPr>
        <w:tc>
          <w:tcPr>
            <w:tcW w:w="836" w:type="dxa"/>
            <w:tcBorders>
              <w:top w:val="single" w:sz="4" w:space="0" w:color="92D050"/>
              <w:left w:val="single" w:sz="12" w:space="0" w:color="92D050"/>
            </w:tcBorders>
            <w:shd w:val="clear" w:color="auto" w:fill="auto"/>
            <w:vAlign w:val="center"/>
          </w:tcPr>
          <w:p w14:paraId="1A71600F" w14:textId="0DB9455F" w:rsidR="00E514B3" w:rsidRPr="00D17334" w:rsidRDefault="0058168D" w:rsidP="00E514B3">
            <w:pPr>
              <w:tabs>
                <w:tab w:val="left" w:pos="3402"/>
                <w:tab w:val="left" w:pos="5103"/>
              </w:tabs>
              <w:spacing w:before="60" w:after="60"/>
              <w:ind w:left="175"/>
              <w:contextualSpacing/>
              <w:rPr>
                <w:rFonts w:eastAsia="Times New Roman" w:cstheme="minorHAnsi"/>
                <w:iCs/>
                <w:sz w:val="24"/>
                <w:szCs w:val="24"/>
              </w:rPr>
            </w:pPr>
            <w:r>
              <w:rPr>
                <w:rFonts w:eastAsia="Times New Roman" w:cstheme="minorHAnsi"/>
                <w:iCs/>
                <w:sz w:val="24"/>
                <w:szCs w:val="24"/>
              </w:rPr>
              <w:lastRenderedPageBreak/>
              <w:t>4</w:t>
            </w:r>
            <w:r w:rsidR="00E514B3" w:rsidRPr="00D17334">
              <w:rPr>
                <w:rFonts w:eastAsia="Times New Roman" w:cstheme="minorHAnsi"/>
                <w:iCs/>
                <w:sz w:val="24"/>
                <w:szCs w:val="24"/>
              </w:rPr>
              <w:t>.</w:t>
            </w:r>
          </w:p>
        </w:tc>
        <w:tc>
          <w:tcPr>
            <w:tcW w:w="3260" w:type="dxa"/>
            <w:tcBorders>
              <w:top w:val="single" w:sz="4" w:space="0" w:color="92D050"/>
            </w:tcBorders>
            <w:vAlign w:val="center"/>
          </w:tcPr>
          <w:p w14:paraId="0A7EEFED" w14:textId="0B7A403D" w:rsidR="00E514B3" w:rsidRPr="00C05057" w:rsidRDefault="00E514B3" w:rsidP="00E514B3">
            <w:pPr>
              <w:tabs>
                <w:tab w:val="left" w:pos="3402"/>
                <w:tab w:val="left" w:pos="5103"/>
              </w:tabs>
              <w:spacing w:before="60" w:after="60"/>
              <w:rPr>
                <w:rFonts w:cstheme="minorHAnsi"/>
                <w:iCs/>
                <w:sz w:val="24"/>
                <w:szCs w:val="24"/>
              </w:rPr>
            </w:pPr>
            <w:r w:rsidRPr="00C05057">
              <w:rPr>
                <w:rFonts w:cstheme="minorHAnsi"/>
                <w:iCs/>
                <w:sz w:val="24"/>
                <w:szCs w:val="24"/>
              </w:rPr>
              <w:t>Liczba opiekunów faktycznych/nieformalnych objętych wsparciem w programie</w:t>
            </w:r>
          </w:p>
        </w:tc>
        <w:tc>
          <w:tcPr>
            <w:tcW w:w="1276" w:type="dxa"/>
            <w:tcBorders>
              <w:top w:val="single" w:sz="4" w:space="0" w:color="92D050"/>
            </w:tcBorders>
            <w:shd w:val="clear" w:color="auto" w:fill="auto"/>
            <w:vAlign w:val="center"/>
          </w:tcPr>
          <w:p w14:paraId="42C70DB8" w14:textId="6BFF2126" w:rsidR="00E514B3" w:rsidRPr="00D17334" w:rsidRDefault="00E514B3" w:rsidP="00E514B3">
            <w:pPr>
              <w:tabs>
                <w:tab w:val="left" w:pos="3402"/>
                <w:tab w:val="left" w:pos="5103"/>
              </w:tabs>
              <w:spacing w:before="60" w:after="60"/>
              <w:jc w:val="center"/>
              <w:rPr>
                <w:rFonts w:cstheme="minorHAnsi"/>
                <w:iCs/>
                <w:sz w:val="24"/>
                <w:szCs w:val="24"/>
              </w:rPr>
            </w:pPr>
            <w:r w:rsidRPr="00D17334">
              <w:rPr>
                <w:rFonts w:cstheme="minorHAnsi"/>
                <w:iCs/>
                <w:sz w:val="24"/>
                <w:szCs w:val="24"/>
              </w:rPr>
              <w:t>osoby</w:t>
            </w:r>
          </w:p>
        </w:tc>
        <w:tc>
          <w:tcPr>
            <w:tcW w:w="1413" w:type="dxa"/>
            <w:tcBorders>
              <w:top w:val="single" w:sz="4" w:space="0" w:color="92D050"/>
            </w:tcBorders>
            <w:shd w:val="clear" w:color="auto" w:fill="auto"/>
            <w:vAlign w:val="center"/>
          </w:tcPr>
          <w:p w14:paraId="696635A4" w14:textId="35A7A977" w:rsidR="00E514B3" w:rsidRPr="00D17334" w:rsidRDefault="00E514B3" w:rsidP="00E514B3">
            <w:pPr>
              <w:tabs>
                <w:tab w:val="left" w:pos="3402"/>
                <w:tab w:val="left" w:pos="5103"/>
              </w:tabs>
              <w:spacing w:before="60" w:after="60"/>
              <w:ind w:left="-183" w:right="-193"/>
              <w:jc w:val="center"/>
              <w:rPr>
                <w:rFonts w:cstheme="minorHAnsi"/>
                <w:iCs/>
                <w:sz w:val="24"/>
                <w:szCs w:val="24"/>
              </w:rPr>
            </w:pPr>
            <w:r w:rsidRPr="00D17334">
              <w:rPr>
                <w:rFonts w:cstheme="minorHAnsi"/>
                <w:iCs/>
                <w:sz w:val="24"/>
                <w:szCs w:val="24"/>
              </w:rPr>
              <w:t>produkt</w:t>
            </w:r>
          </w:p>
        </w:tc>
        <w:tc>
          <w:tcPr>
            <w:tcW w:w="1422" w:type="dxa"/>
            <w:tcBorders>
              <w:top w:val="single" w:sz="4" w:space="0" w:color="92D050"/>
            </w:tcBorders>
            <w:shd w:val="clear" w:color="auto" w:fill="auto"/>
            <w:vAlign w:val="center"/>
          </w:tcPr>
          <w:p w14:paraId="1124C0B4" w14:textId="7C1CFB0A" w:rsidR="00E514B3" w:rsidRPr="00D17334" w:rsidRDefault="00E514B3" w:rsidP="00E514B3">
            <w:pPr>
              <w:spacing w:before="60" w:after="60"/>
              <w:ind w:right="-93"/>
              <w:jc w:val="center"/>
              <w:rPr>
                <w:rFonts w:cstheme="minorHAnsi"/>
                <w:iCs/>
                <w:sz w:val="24"/>
                <w:szCs w:val="24"/>
              </w:rPr>
            </w:pPr>
            <w:r w:rsidRPr="00D17334">
              <w:rPr>
                <w:rFonts w:cstheme="minorHAnsi"/>
                <w:iCs/>
                <w:sz w:val="24"/>
                <w:szCs w:val="24"/>
              </w:rPr>
              <w:t>kluczowy</w:t>
            </w:r>
          </w:p>
        </w:tc>
        <w:tc>
          <w:tcPr>
            <w:tcW w:w="1834" w:type="dxa"/>
            <w:tcBorders>
              <w:top w:val="single" w:sz="4" w:space="0" w:color="92D050"/>
            </w:tcBorders>
            <w:vAlign w:val="center"/>
          </w:tcPr>
          <w:p w14:paraId="4A0170FD" w14:textId="7ED7B367" w:rsidR="00E514B3" w:rsidRPr="00D17334" w:rsidRDefault="00E514B3" w:rsidP="00E514B3">
            <w:pPr>
              <w:tabs>
                <w:tab w:val="left" w:pos="3402"/>
                <w:tab w:val="left" w:pos="5103"/>
              </w:tabs>
              <w:spacing w:before="60" w:after="60"/>
              <w:ind w:left="-8"/>
              <w:contextualSpacing/>
              <w:jc w:val="center"/>
              <w:rPr>
                <w:rFonts w:eastAsia="Calibri" w:cstheme="minorHAnsi"/>
                <w:iCs/>
                <w:strike/>
                <w:color w:val="FF0000"/>
                <w:sz w:val="24"/>
                <w:szCs w:val="24"/>
              </w:rPr>
            </w:pPr>
            <w:r w:rsidRPr="00D17334">
              <w:rPr>
                <w:rFonts w:eastAsia="Calibri" w:cstheme="minorHAnsi"/>
                <w:iCs/>
                <w:strike/>
                <w:sz w:val="24"/>
                <w:szCs w:val="24"/>
              </w:rPr>
              <w:t>-</w:t>
            </w:r>
          </w:p>
        </w:tc>
        <w:tc>
          <w:tcPr>
            <w:tcW w:w="5537" w:type="dxa"/>
            <w:tcBorders>
              <w:top w:val="single" w:sz="4" w:space="0" w:color="92D050"/>
              <w:right w:val="single" w:sz="12" w:space="0" w:color="92D050"/>
            </w:tcBorders>
            <w:vAlign w:val="center"/>
          </w:tcPr>
          <w:p w14:paraId="76493024" w14:textId="77777777" w:rsidR="00E514B3" w:rsidRPr="00D17334" w:rsidRDefault="00E514B3" w:rsidP="00E514B3">
            <w:pPr>
              <w:pStyle w:val="Akapitzlist"/>
              <w:spacing w:after="120"/>
              <w:ind w:left="42"/>
              <w:rPr>
                <w:rFonts w:asciiTheme="minorHAnsi" w:hAnsiTheme="minorHAnsi" w:cstheme="minorHAnsi"/>
                <w:iCs/>
                <w:sz w:val="24"/>
                <w:szCs w:val="24"/>
              </w:rPr>
            </w:pPr>
            <w:r w:rsidRPr="00D17334">
              <w:rPr>
                <w:rFonts w:asciiTheme="minorHAnsi" w:hAnsiTheme="minorHAnsi" w:cstheme="minorHAnsi"/>
                <w:iCs/>
                <w:sz w:val="24"/>
                <w:szCs w:val="24"/>
              </w:rPr>
              <w:t xml:space="preserve">Wskaźnik obejmuje osoby, które otrzymały wsparcie w sprawowaniu opieki nad osobami potrzebującymi wsparcia w codziennym funkcjonowaniu, np. w postaci poradnictwa, pomocy psychologicznej, grup wsparcia, szkoleń, opieki </w:t>
            </w:r>
            <w:proofErr w:type="spellStart"/>
            <w:r w:rsidRPr="00D17334">
              <w:rPr>
                <w:rFonts w:asciiTheme="minorHAnsi" w:hAnsiTheme="minorHAnsi" w:cstheme="minorHAnsi"/>
                <w:iCs/>
                <w:sz w:val="24"/>
                <w:szCs w:val="24"/>
              </w:rPr>
              <w:t>wytchnieniowej</w:t>
            </w:r>
            <w:proofErr w:type="spellEnd"/>
            <w:r w:rsidRPr="00D17334">
              <w:rPr>
                <w:rFonts w:asciiTheme="minorHAnsi" w:hAnsiTheme="minorHAnsi" w:cstheme="minorHAnsi"/>
                <w:iCs/>
                <w:sz w:val="24"/>
                <w:szCs w:val="24"/>
              </w:rPr>
              <w:t>, usług regeneracyjnych, czyli podtrzymujących lub przywracających zdolność sprawowania opieki. Daną osobę należy uwzględnić w wartości wskaźnika jednokrotnie niezależnie od liczby i rodzaju form wsparcia, które ta osoba uzyskała w ramach projektu.</w:t>
            </w:r>
          </w:p>
          <w:p w14:paraId="34586B35" w14:textId="70C8CC5C" w:rsidR="00E514B3" w:rsidRPr="00D17334" w:rsidRDefault="00E514B3" w:rsidP="00E514B3">
            <w:pPr>
              <w:pStyle w:val="Akapitzlist"/>
              <w:spacing w:after="120"/>
              <w:ind w:left="0"/>
              <w:contextualSpacing w:val="0"/>
              <w:rPr>
                <w:rFonts w:asciiTheme="minorHAnsi" w:hAnsiTheme="minorHAnsi" w:cstheme="minorHAnsi"/>
                <w:iCs/>
                <w:sz w:val="24"/>
                <w:szCs w:val="24"/>
              </w:rPr>
            </w:pPr>
            <w:r w:rsidRPr="00D17334">
              <w:rPr>
                <w:rFonts w:asciiTheme="minorHAnsi" w:hAnsiTheme="minorHAnsi" w:cstheme="minorHAnsi"/>
                <w:iCs/>
                <w:sz w:val="24"/>
                <w:szCs w:val="24"/>
              </w:rPr>
              <w:t>Opiekuna faktycznego/nieformalnego należy rozumieć zgodnie z definicją wskazaną w wytycznych dotyczących realizacji projektów z udziałem środków EFS+ wydanych przez ministra właściwego ds. rozwoju regionalnego.</w:t>
            </w:r>
          </w:p>
        </w:tc>
      </w:tr>
      <w:tr w:rsidR="005951A2" w:rsidRPr="00D17334" w14:paraId="7EDE317E" w14:textId="77777777" w:rsidTr="00094411">
        <w:trPr>
          <w:trHeight w:val="726"/>
          <w:jc w:val="center"/>
        </w:trPr>
        <w:tc>
          <w:tcPr>
            <w:tcW w:w="836" w:type="dxa"/>
            <w:tcBorders>
              <w:top w:val="single" w:sz="4" w:space="0" w:color="92D050"/>
              <w:left w:val="single" w:sz="12" w:space="0" w:color="92D050"/>
              <w:bottom w:val="single" w:sz="4" w:space="0" w:color="92D050"/>
            </w:tcBorders>
            <w:shd w:val="clear" w:color="auto" w:fill="auto"/>
            <w:vAlign w:val="center"/>
          </w:tcPr>
          <w:p w14:paraId="33F6E20A" w14:textId="7550D0E7" w:rsidR="005951A2" w:rsidRPr="00D17334" w:rsidRDefault="0058168D" w:rsidP="005951A2">
            <w:pPr>
              <w:tabs>
                <w:tab w:val="left" w:pos="3402"/>
                <w:tab w:val="left" w:pos="5103"/>
              </w:tabs>
              <w:spacing w:before="60" w:after="60"/>
              <w:jc w:val="center"/>
              <w:rPr>
                <w:rFonts w:cstheme="minorHAnsi"/>
                <w:iCs/>
                <w:sz w:val="24"/>
                <w:szCs w:val="24"/>
              </w:rPr>
            </w:pPr>
            <w:r>
              <w:rPr>
                <w:rFonts w:cstheme="minorHAnsi"/>
                <w:iCs/>
                <w:sz w:val="24"/>
                <w:szCs w:val="24"/>
              </w:rPr>
              <w:lastRenderedPageBreak/>
              <w:t>5</w:t>
            </w:r>
            <w:r w:rsidR="005951A2" w:rsidRPr="00D17334">
              <w:rPr>
                <w:rFonts w:cstheme="minorHAnsi"/>
                <w:iCs/>
                <w:sz w:val="24"/>
                <w:szCs w:val="24"/>
              </w:rPr>
              <w:t>.</w:t>
            </w:r>
          </w:p>
        </w:tc>
        <w:tc>
          <w:tcPr>
            <w:tcW w:w="3260" w:type="dxa"/>
            <w:tcBorders>
              <w:top w:val="single" w:sz="4" w:space="0" w:color="92D050"/>
              <w:bottom w:val="single" w:sz="4" w:space="0" w:color="92D050"/>
            </w:tcBorders>
            <w:vAlign w:val="center"/>
          </w:tcPr>
          <w:p w14:paraId="214A5D5F" w14:textId="1947A54E" w:rsidR="005951A2" w:rsidRPr="00C05057" w:rsidRDefault="005951A2" w:rsidP="005951A2">
            <w:pPr>
              <w:tabs>
                <w:tab w:val="left" w:pos="3402"/>
                <w:tab w:val="left" w:pos="5103"/>
              </w:tabs>
              <w:spacing w:before="60" w:after="60"/>
              <w:rPr>
                <w:rFonts w:cstheme="minorHAnsi"/>
                <w:iCs/>
                <w:strike/>
                <w:sz w:val="24"/>
                <w:szCs w:val="24"/>
              </w:rPr>
            </w:pPr>
            <w:r w:rsidRPr="00C05057">
              <w:rPr>
                <w:rFonts w:eastAsia="Times New Roman" w:cstheme="minorHAnsi"/>
                <w:iCs/>
                <w:sz w:val="24"/>
                <w:szCs w:val="24"/>
              </w:rPr>
              <w:t>Liczba utworzonych miejsc świadczenia usług w społeczności lokalnej</w:t>
            </w:r>
          </w:p>
        </w:tc>
        <w:tc>
          <w:tcPr>
            <w:tcW w:w="1276" w:type="dxa"/>
            <w:tcBorders>
              <w:top w:val="single" w:sz="4" w:space="0" w:color="92D050"/>
              <w:bottom w:val="single" w:sz="4" w:space="0" w:color="92D050"/>
            </w:tcBorders>
            <w:shd w:val="clear" w:color="auto" w:fill="auto"/>
            <w:vAlign w:val="center"/>
          </w:tcPr>
          <w:p w14:paraId="3CECC0C8" w14:textId="6C9D56AF" w:rsidR="005951A2" w:rsidRPr="00D17334" w:rsidRDefault="005951A2" w:rsidP="005951A2">
            <w:pPr>
              <w:tabs>
                <w:tab w:val="left" w:pos="3402"/>
                <w:tab w:val="left" w:pos="5103"/>
              </w:tabs>
              <w:spacing w:before="60" w:after="60"/>
              <w:jc w:val="center"/>
              <w:rPr>
                <w:rFonts w:cstheme="minorHAnsi"/>
                <w:iCs/>
                <w:strike/>
                <w:sz w:val="24"/>
                <w:szCs w:val="24"/>
              </w:rPr>
            </w:pPr>
            <w:r w:rsidRPr="00D17334">
              <w:rPr>
                <w:rFonts w:eastAsia="Times New Roman" w:cstheme="minorHAnsi"/>
                <w:iCs/>
                <w:sz w:val="24"/>
                <w:szCs w:val="24"/>
                <w:lang w:eastAsia="pl-PL"/>
              </w:rPr>
              <w:t>sztuki</w:t>
            </w:r>
          </w:p>
        </w:tc>
        <w:tc>
          <w:tcPr>
            <w:tcW w:w="1413" w:type="dxa"/>
            <w:tcBorders>
              <w:top w:val="single" w:sz="4" w:space="0" w:color="92D050"/>
              <w:bottom w:val="single" w:sz="4" w:space="0" w:color="92D050"/>
            </w:tcBorders>
            <w:shd w:val="clear" w:color="auto" w:fill="auto"/>
            <w:vAlign w:val="center"/>
          </w:tcPr>
          <w:p w14:paraId="61AC8621" w14:textId="6B135E00" w:rsidR="005951A2" w:rsidRPr="00D17334" w:rsidRDefault="005951A2" w:rsidP="005951A2">
            <w:pPr>
              <w:tabs>
                <w:tab w:val="left" w:pos="3402"/>
                <w:tab w:val="left" w:pos="5103"/>
              </w:tabs>
              <w:spacing w:before="60" w:after="60"/>
              <w:ind w:left="-183" w:right="-193"/>
              <w:jc w:val="center"/>
              <w:rPr>
                <w:rFonts w:cstheme="minorHAnsi"/>
                <w:iCs/>
                <w:strike/>
                <w:sz w:val="24"/>
                <w:szCs w:val="24"/>
              </w:rPr>
            </w:pPr>
            <w:r w:rsidRPr="00D17334">
              <w:rPr>
                <w:rFonts w:eastAsia="Calibri" w:cstheme="minorHAnsi"/>
                <w:iCs/>
                <w:sz w:val="24"/>
                <w:szCs w:val="24"/>
              </w:rPr>
              <w:t>rezultat bezpośredni</w:t>
            </w:r>
          </w:p>
        </w:tc>
        <w:tc>
          <w:tcPr>
            <w:tcW w:w="1422" w:type="dxa"/>
            <w:tcBorders>
              <w:top w:val="single" w:sz="4" w:space="0" w:color="92D050"/>
              <w:bottom w:val="single" w:sz="4" w:space="0" w:color="92D050"/>
            </w:tcBorders>
            <w:shd w:val="clear" w:color="auto" w:fill="auto"/>
            <w:vAlign w:val="center"/>
          </w:tcPr>
          <w:p w14:paraId="32A29926" w14:textId="610A0B87" w:rsidR="005951A2" w:rsidRPr="00D17334" w:rsidRDefault="005951A2" w:rsidP="005951A2">
            <w:pPr>
              <w:spacing w:before="60" w:after="60"/>
              <w:ind w:right="-93"/>
              <w:jc w:val="center"/>
              <w:rPr>
                <w:rFonts w:cstheme="minorHAnsi"/>
                <w:iCs/>
                <w:strike/>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22DA15A2" w14:textId="596918AD" w:rsidR="005951A2" w:rsidRPr="00D17334" w:rsidRDefault="005951A2" w:rsidP="005951A2">
            <w:pPr>
              <w:tabs>
                <w:tab w:val="left" w:pos="3402"/>
                <w:tab w:val="left" w:pos="5103"/>
              </w:tabs>
              <w:spacing w:before="60" w:after="60"/>
              <w:ind w:left="-8"/>
              <w:contextualSpacing/>
              <w:jc w:val="center"/>
              <w:rPr>
                <w:rFonts w:eastAsia="Calibri" w:cstheme="minorHAnsi"/>
                <w:iCs/>
                <w:strike/>
                <w:color w:val="FF0000"/>
                <w:sz w:val="24"/>
                <w:szCs w:val="24"/>
              </w:rPr>
            </w:pPr>
            <w:r w:rsidRPr="00D17334">
              <w:rPr>
                <w:rFonts w:eastAsia="Calibri" w:cstheme="minorHAnsi"/>
                <w:iCs/>
                <w:sz w:val="24"/>
                <w:szCs w:val="24"/>
              </w:rPr>
              <w:t>programowy</w:t>
            </w:r>
          </w:p>
        </w:tc>
        <w:tc>
          <w:tcPr>
            <w:tcW w:w="5537" w:type="dxa"/>
            <w:tcBorders>
              <w:top w:val="single" w:sz="4" w:space="0" w:color="92D050"/>
              <w:bottom w:val="single" w:sz="4" w:space="0" w:color="92D050"/>
              <w:right w:val="single" w:sz="12" w:space="0" w:color="92D050"/>
            </w:tcBorders>
            <w:vAlign w:val="center"/>
          </w:tcPr>
          <w:p w14:paraId="2FE48E7F" w14:textId="77777777" w:rsidR="005951A2" w:rsidRPr="00D17334" w:rsidRDefault="005951A2" w:rsidP="005951A2">
            <w:pPr>
              <w:spacing w:after="120"/>
              <w:rPr>
                <w:rFonts w:eastAsia="Times New Roman" w:cstheme="minorHAnsi"/>
                <w:iCs/>
                <w:sz w:val="24"/>
                <w:szCs w:val="24"/>
                <w:lang w:eastAsia="pl-PL"/>
              </w:rPr>
            </w:pPr>
            <w:r w:rsidRPr="00D17334">
              <w:rPr>
                <w:rFonts w:eastAsia="Times New Roman" w:cstheme="minorHAnsi"/>
                <w:iCs/>
                <w:sz w:val="24"/>
                <w:szCs w:val="24"/>
                <w:lang w:eastAsia="pl-PL"/>
              </w:rPr>
              <w:t xml:space="preserve">Wskaźnik obejmuje nowo utworzone dzięki wsparciu EFS+ miejsca stacjonarnego świadczenia usług społecznych lub zdrowotnych w społeczności lokalnej. </w:t>
            </w:r>
          </w:p>
          <w:p w14:paraId="6E3B7C52" w14:textId="77777777" w:rsidR="005951A2" w:rsidRPr="00D17334" w:rsidRDefault="005951A2" w:rsidP="005951A2">
            <w:pPr>
              <w:spacing w:after="120"/>
              <w:rPr>
                <w:rFonts w:eastAsia="Times New Roman" w:cstheme="minorHAnsi"/>
                <w:iCs/>
                <w:sz w:val="24"/>
                <w:szCs w:val="24"/>
                <w:lang w:eastAsia="pl-PL"/>
              </w:rPr>
            </w:pPr>
            <w:r w:rsidRPr="00D17334">
              <w:rPr>
                <w:rFonts w:eastAsia="Times New Roman" w:cstheme="minorHAnsi"/>
                <w:iCs/>
                <w:sz w:val="24"/>
                <w:szCs w:val="24"/>
                <w:lang w:eastAsia="pl-PL"/>
              </w:rPr>
              <w:t xml:space="preserve">Liczbę miejsc należy monitorować jako potencjał danej placówki/ośrodka/mieszkania itp. do świadczenia usług, tj. liczbę osób, które mogą w tym samym momencie jednocześnie skorzystać z oferowanych usług (a nie miejsce jako obiekt, w którym dana usługa jest świadczona). </w:t>
            </w:r>
          </w:p>
          <w:p w14:paraId="7B1D3BFD" w14:textId="77777777" w:rsidR="005951A2" w:rsidRPr="00D17334" w:rsidRDefault="005951A2" w:rsidP="005951A2">
            <w:pPr>
              <w:spacing w:after="120"/>
              <w:rPr>
                <w:rFonts w:eastAsia="Times New Roman" w:cstheme="minorHAnsi"/>
                <w:iCs/>
                <w:sz w:val="24"/>
                <w:szCs w:val="24"/>
                <w:lang w:eastAsia="pl-PL"/>
              </w:rPr>
            </w:pPr>
            <w:r w:rsidRPr="00D17334">
              <w:rPr>
                <w:rFonts w:eastAsia="Times New Roman" w:cstheme="minorHAnsi"/>
                <w:iCs/>
                <w:sz w:val="24"/>
                <w:szCs w:val="24"/>
                <w:lang w:eastAsia="pl-PL"/>
              </w:rPr>
              <w:t>Przykład: w przypadku utworzonego w projekcie mieszkania wspomaganego, mogącego jednocześnie przyjąć 5 osób, należy wykazać 5 utworzonych miejsc świadczenia usług.</w:t>
            </w:r>
          </w:p>
          <w:p w14:paraId="2B934FD3" w14:textId="77777777" w:rsidR="005951A2" w:rsidRPr="00D17334" w:rsidRDefault="005951A2" w:rsidP="005951A2">
            <w:pPr>
              <w:spacing w:after="120"/>
              <w:rPr>
                <w:rFonts w:eastAsia="Times New Roman" w:cstheme="minorHAnsi"/>
                <w:iCs/>
                <w:sz w:val="24"/>
                <w:szCs w:val="24"/>
                <w:lang w:eastAsia="pl-PL"/>
              </w:rPr>
            </w:pPr>
            <w:r w:rsidRPr="00D17334">
              <w:rPr>
                <w:rFonts w:eastAsia="Times New Roman" w:cstheme="minorHAnsi"/>
                <w:iCs/>
                <w:sz w:val="24"/>
                <w:szCs w:val="24"/>
                <w:lang w:eastAsia="pl-PL"/>
              </w:rPr>
              <w:t xml:space="preserve">W przypadku wsparcia istniejących wcześniej placówek świadczenia usług do wskaźnika zliczane są wyłącznie nowe miejsca utworzone dzięki wsparciu EFS+. </w:t>
            </w:r>
          </w:p>
          <w:p w14:paraId="4D6A0F51" w14:textId="77777777" w:rsidR="005951A2" w:rsidRPr="00D17334" w:rsidRDefault="005951A2" w:rsidP="005951A2">
            <w:pPr>
              <w:spacing w:after="120"/>
              <w:rPr>
                <w:rFonts w:eastAsia="Times New Roman" w:cstheme="minorHAnsi"/>
                <w:iCs/>
                <w:sz w:val="24"/>
                <w:szCs w:val="24"/>
                <w:lang w:eastAsia="pl-PL"/>
              </w:rPr>
            </w:pPr>
            <w:r w:rsidRPr="00D17334">
              <w:rPr>
                <w:rFonts w:eastAsia="Times New Roman" w:cstheme="minorHAnsi"/>
                <w:iCs/>
                <w:sz w:val="24"/>
                <w:szCs w:val="24"/>
                <w:lang w:eastAsia="pl-PL"/>
              </w:rPr>
              <w:t>Wskaźnik mierzony w ciągu 4 tygodni od zakończenia projektu.  Obowiązek weryfikacji wartości wskaźnika należy do instytucji podpisującej umowę z beneficjentem.</w:t>
            </w:r>
          </w:p>
          <w:p w14:paraId="237C9EA0" w14:textId="78DA8312" w:rsidR="005951A2" w:rsidRPr="00D17334" w:rsidRDefault="005951A2" w:rsidP="005951A2">
            <w:pPr>
              <w:pStyle w:val="Akapitzlist"/>
              <w:spacing w:after="120"/>
              <w:ind w:left="0"/>
              <w:contextualSpacing w:val="0"/>
              <w:rPr>
                <w:rFonts w:asciiTheme="minorHAnsi" w:hAnsiTheme="minorHAnsi" w:cstheme="minorHAnsi"/>
                <w:iCs/>
                <w:strike/>
                <w:sz w:val="24"/>
                <w:szCs w:val="24"/>
              </w:rPr>
            </w:pPr>
            <w:r w:rsidRPr="00D17334">
              <w:rPr>
                <w:rFonts w:cstheme="minorHAnsi"/>
                <w:iCs/>
                <w:sz w:val="24"/>
                <w:szCs w:val="24"/>
                <w:lang w:eastAsia="pl-PL"/>
              </w:rPr>
              <w:t xml:space="preserve">We wskaźniku nie są uwzględniane miejsca świadczenia usług wspierania rodziny i pieczy zastępczej monitorowane we wskaźniku: </w:t>
            </w:r>
            <w:r w:rsidRPr="00D17334">
              <w:rPr>
                <w:rFonts w:cstheme="minorHAnsi"/>
                <w:iCs/>
                <w:sz w:val="24"/>
                <w:szCs w:val="24"/>
              </w:rPr>
              <w:t xml:space="preserve">Liczba </w:t>
            </w:r>
            <w:r w:rsidRPr="00D17334">
              <w:rPr>
                <w:rFonts w:cstheme="minorHAnsi"/>
                <w:iCs/>
                <w:sz w:val="24"/>
                <w:szCs w:val="24"/>
              </w:rPr>
              <w:lastRenderedPageBreak/>
              <w:t>utworzonych miejsc świadczenia usług w społeczności lokalnej</w:t>
            </w:r>
          </w:p>
        </w:tc>
      </w:tr>
      <w:tr w:rsidR="005951A2" w:rsidRPr="00D17334" w14:paraId="3B9B93D2" w14:textId="77777777" w:rsidTr="00094411">
        <w:trPr>
          <w:trHeight w:val="726"/>
          <w:jc w:val="center"/>
        </w:trPr>
        <w:tc>
          <w:tcPr>
            <w:tcW w:w="836" w:type="dxa"/>
            <w:tcBorders>
              <w:top w:val="single" w:sz="4" w:space="0" w:color="92D050"/>
              <w:left w:val="single" w:sz="12" w:space="0" w:color="92D050"/>
              <w:bottom w:val="single" w:sz="4" w:space="0" w:color="92D050"/>
            </w:tcBorders>
            <w:shd w:val="clear" w:color="auto" w:fill="auto"/>
            <w:vAlign w:val="center"/>
          </w:tcPr>
          <w:p w14:paraId="6F7ED839" w14:textId="4F448AC4" w:rsidR="005951A2" w:rsidRPr="00D17334" w:rsidRDefault="0058168D" w:rsidP="005951A2">
            <w:pPr>
              <w:tabs>
                <w:tab w:val="left" w:pos="3402"/>
                <w:tab w:val="left" w:pos="5103"/>
              </w:tabs>
              <w:spacing w:before="60" w:after="60"/>
              <w:jc w:val="center"/>
              <w:rPr>
                <w:rFonts w:cstheme="minorHAnsi"/>
                <w:iCs/>
                <w:sz w:val="24"/>
                <w:szCs w:val="24"/>
              </w:rPr>
            </w:pPr>
            <w:r>
              <w:rPr>
                <w:rFonts w:cstheme="minorHAnsi"/>
                <w:iCs/>
                <w:sz w:val="24"/>
                <w:szCs w:val="24"/>
              </w:rPr>
              <w:lastRenderedPageBreak/>
              <w:t>6</w:t>
            </w:r>
            <w:r w:rsidR="005951A2" w:rsidRPr="00D17334">
              <w:rPr>
                <w:rFonts w:cstheme="minorHAnsi"/>
                <w:iCs/>
                <w:sz w:val="24"/>
                <w:szCs w:val="24"/>
              </w:rPr>
              <w:t>.</w:t>
            </w:r>
          </w:p>
        </w:tc>
        <w:tc>
          <w:tcPr>
            <w:tcW w:w="3260" w:type="dxa"/>
            <w:tcBorders>
              <w:top w:val="single" w:sz="4" w:space="0" w:color="92D050"/>
              <w:bottom w:val="single" w:sz="4" w:space="0" w:color="92D050"/>
            </w:tcBorders>
            <w:vAlign w:val="center"/>
          </w:tcPr>
          <w:p w14:paraId="703A06F4" w14:textId="71E331E9" w:rsidR="005951A2" w:rsidRPr="00C05057" w:rsidRDefault="005951A2" w:rsidP="005951A2">
            <w:pPr>
              <w:tabs>
                <w:tab w:val="left" w:pos="3402"/>
                <w:tab w:val="left" w:pos="5103"/>
              </w:tabs>
              <w:spacing w:before="60" w:after="60"/>
              <w:rPr>
                <w:rFonts w:eastAsia="Times New Roman" w:cstheme="minorHAnsi"/>
                <w:iCs/>
                <w:sz w:val="24"/>
                <w:szCs w:val="24"/>
              </w:rPr>
            </w:pPr>
            <w:r w:rsidRPr="00C05057">
              <w:rPr>
                <w:rFonts w:eastAsia="Times New Roman" w:cstheme="minorHAnsi"/>
                <w:iCs/>
                <w:sz w:val="24"/>
                <w:szCs w:val="24"/>
              </w:rPr>
              <w:t>Liczba podmiotów, które rozszerzyły ofertę wsparcia lub podniosły jakość oferowanych usług</w:t>
            </w:r>
          </w:p>
        </w:tc>
        <w:tc>
          <w:tcPr>
            <w:tcW w:w="1276" w:type="dxa"/>
            <w:tcBorders>
              <w:top w:val="single" w:sz="4" w:space="0" w:color="92D050"/>
              <w:bottom w:val="single" w:sz="4" w:space="0" w:color="92D050"/>
            </w:tcBorders>
            <w:shd w:val="clear" w:color="auto" w:fill="auto"/>
            <w:vAlign w:val="center"/>
          </w:tcPr>
          <w:p w14:paraId="7D29AF68" w14:textId="33FEB8E6" w:rsidR="005951A2" w:rsidRPr="00D17334" w:rsidRDefault="005951A2" w:rsidP="005951A2">
            <w:pPr>
              <w:tabs>
                <w:tab w:val="left" w:pos="3402"/>
                <w:tab w:val="left" w:pos="5103"/>
              </w:tabs>
              <w:spacing w:before="60" w:after="60"/>
              <w:jc w:val="center"/>
              <w:rPr>
                <w:rFonts w:eastAsia="Times New Roman" w:cstheme="minorHAnsi"/>
                <w:iCs/>
                <w:sz w:val="24"/>
                <w:szCs w:val="24"/>
                <w:lang w:eastAsia="pl-PL"/>
              </w:rPr>
            </w:pPr>
            <w:r w:rsidRPr="00D17334">
              <w:rPr>
                <w:rFonts w:eastAsia="Times New Roman" w:cstheme="minorHAnsi"/>
                <w:iCs/>
                <w:sz w:val="24"/>
                <w:szCs w:val="24"/>
                <w:lang w:eastAsia="pl-PL"/>
              </w:rPr>
              <w:t>podmioty</w:t>
            </w:r>
          </w:p>
        </w:tc>
        <w:tc>
          <w:tcPr>
            <w:tcW w:w="1413" w:type="dxa"/>
            <w:tcBorders>
              <w:top w:val="single" w:sz="4" w:space="0" w:color="92D050"/>
              <w:bottom w:val="single" w:sz="4" w:space="0" w:color="92D050"/>
            </w:tcBorders>
            <w:shd w:val="clear" w:color="auto" w:fill="auto"/>
            <w:vAlign w:val="center"/>
          </w:tcPr>
          <w:p w14:paraId="433B10DB" w14:textId="4E080FC5" w:rsidR="005951A2" w:rsidRPr="00D17334" w:rsidRDefault="005951A2" w:rsidP="005951A2">
            <w:pPr>
              <w:tabs>
                <w:tab w:val="left" w:pos="3402"/>
                <w:tab w:val="left" w:pos="5103"/>
              </w:tabs>
              <w:spacing w:before="60" w:after="60"/>
              <w:ind w:left="-183" w:right="-193"/>
              <w:jc w:val="center"/>
              <w:rPr>
                <w:rFonts w:eastAsia="Calibri" w:cstheme="minorHAnsi"/>
                <w:iCs/>
                <w:sz w:val="24"/>
                <w:szCs w:val="24"/>
              </w:rPr>
            </w:pPr>
            <w:r w:rsidRPr="00D17334">
              <w:rPr>
                <w:rFonts w:eastAsia="Calibri" w:cstheme="minorHAnsi"/>
                <w:iCs/>
                <w:sz w:val="24"/>
                <w:szCs w:val="24"/>
              </w:rPr>
              <w:t>rezultat bezpośredni</w:t>
            </w:r>
          </w:p>
        </w:tc>
        <w:tc>
          <w:tcPr>
            <w:tcW w:w="1422" w:type="dxa"/>
            <w:tcBorders>
              <w:top w:val="single" w:sz="4" w:space="0" w:color="92D050"/>
              <w:bottom w:val="single" w:sz="4" w:space="0" w:color="92D050"/>
            </w:tcBorders>
            <w:shd w:val="clear" w:color="auto" w:fill="auto"/>
            <w:vAlign w:val="center"/>
          </w:tcPr>
          <w:p w14:paraId="4C0286F0" w14:textId="2651C598" w:rsidR="005951A2" w:rsidRPr="00D17334" w:rsidRDefault="005951A2" w:rsidP="005951A2">
            <w:pPr>
              <w:spacing w:before="60" w:after="60"/>
              <w:ind w:right="-93"/>
              <w:jc w:val="center"/>
              <w:rPr>
                <w:rFonts w:eastAsia="Calibri" w:cstheme="minorHAnsi"/>
                <w:iCs/>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17FF75D0" w14:textId="2A162792" w:rsidR="005951A2" w:rsidRPr="00D17334" w:rsidRDefault="005951A2" w:rsidP="005951A2">
            <w:pPr>
              <w:tabs>
                <w:tab w:val="left" w:pos="3402"/>
                <w:tab w:val="left" w:pos="5103"/>
              </w:tabs>
              <w:spacing w:before="60" w:after="60"/>
              <w:ind w:left="-8"/>
              <w:contextualSpacing/>
              <w:jc w:val="center"/>
              <w:rPr>
                <w:rFonts w:eastAsia="Calibri" w:cstheme="minorHAnsi"/>
                <w:iCs/>
                <w:sz w:val="24"/>
                <w:szCs w:val="24"/>
              </w:rPr>
            </w:pPr>
            <w:r w:rsidRPr="00D17334">
              <w:rPr>
                <w:rFonts w:eastAsia="Calibri" w:cstheme="minorHAnsi"/>
                <w:iCs/>
                <w:sz w:val="24"/>
                <w:szCs w:val="24"/>
              </w:rPr>
              <w:t>-</w:t>
            </w:r>
          </w:p>
        </w:tc>
        <w:tc>
          <w:tcPr>
            <w:tcW w:w="5537" w:type="dxa"/>
            <w:tcBorders>
              <w:top w:val="single" w:sz="4" w:space="0" w:color="92D050"/>
              <w:bottom w:val="single" w:sz="4" w:space="0" w:color="92D050"/>
              <w:right w:val="single" w:sz="12" w:space="0" w:color="92D050"/>
            </w:tcBorders>
            <w:vAlign w:val="center"/>
          </w:tcPr>
          <w:p w14:paraId="2EF8CD3A" w14:textId="77777777" w:rsidR="005951A2" w:rsidRPr="00D17334" w:rsidRDefault="005951A2" w:rsidP="005951A2">
            <w:pPr>
              <w:spacing w:after="120"/>
              <w:rPr>
                <w:rFonts w:eastAsia="Calibri" w:cstheme="minorHAnsi"/>
                <w:iCs/>
                <w:sz w:val="24"/>
                <w:szCs w:val="24"/>
              </w:rPr>
            </w:pPr>
            <w:r w:rsidRPr="00D17334">
              <w:rPr>
                <w:rFonts w:eastAsia="Calibri" w:cstheme="minorHAnsi"/>
                <w:iCs/>
                <w:sz w:val="24"/>
                <w:szCs w:val="24"/>
              </w:rPr>
              <w:t>Wskaźnik obejmuje podmioty, które świadczą usługi społeczne lub usługi zdrowotne w formie stacjonarnej, istniejące przed projektem, które dzięki wsparciu EFS+ rozszerzyły ofertę wsparcia lub podniosły jakość oferowanych usług.</w:t>
            </w:r>
          </w:p>
          <w:p w14:paraId="19E604F6" w14:textId="77777777" w:rsidR="005951A2" w:rsidRPr="00D17334" w:rsidRDefault="005951A2" w:rsidP="005951A2">
            <w:pPr>
              <w:spacing w:after="120"/>
              <w:rPr>
                <w:rFonts w:eastAsia="Calibri" w:cstheme="minorHAnsi"/>
                <w:iCs/>
                <w:sz w:val="24"/>
                <w:szCs w:val="24"/>
              </w:rPr>
            </w:pPr>
            <w:r w:rsidRPr="00D17334">
              <w:rPr>
                <w:rFonts w:eastAsia="Calibri" w:cstheme="minorHAnsi"/>
                <w:iCs/>
                <w:sz w:val="24"/>
                <w:szCs w:val="24"/>
              </w:rPr>
              <w:t xml:space="preserve">Przez rozszerzenie oferty wsparcia należy rozumieć w szczególności sytuację, gdy po zakończeniu realizacji projektu dany podmiot oferuje szerszy katalog świadczonych usług niż w momencie rozpoczęcia projektu. Rozszerzona oferta może dotyczyć wyłącznie usług świadczonych w społeczności lokalnej. Podniesienie jakości oferowanych usług należy rozumieć natomiast jako w szczególności sytuację, gdy osoby świadczące usługi w danym podmiocie dzięki udziałowi w projekcie wzięły udział w kursach i szkoleniach mających na celu podniesienie standardu wykonywanych usług. </w:t>
            </w:r>
          </w:p>
          <w:p w14:paraId="28591182" w14:textId="77777777" w:rsidR="005951A2" w:rsidRPr="00D17334" w:rsidRDefault="005951A2" w:rsidP="005951A2">
            <w:pPr>
              <w:spacing w:after="120"/>
              <w:rPr>
                <w:rFonts w:eastAsia="Calibri" w:cstheme="minorHAnsi"/>
                <w:iCs/>
                <w:sz w:val="24"/>
                <w:szCs w:val="24"/>
              </w:rPr>
            </w:pPr>
            <w:r w:rsidRPr="00D17334">
              <w:rPr>
                <w:rFonts w:eastAsia="Calibri" w:cstheme="minorHAnsi"/>
                <w:iCs/>
                <w:sz w:val="24"/>
                <w:szCs w:val="24"/>
              </w:rPr>
              <w:t>We wskaźniku nie należy wykazywać nowo utworzonych w ramach projektu miejsc świadczenia usług.</w:t>
            </w:r>
          </w:p>
          <w:p w14:paraId="7C016E48" w14:textId="77777777" w:rsidR="005951A2" w:rsidRPr="00D17334" w:rsidRDefault="005951A2" w:rsidP="005951A2">
            <w:pPr>
              <w:spacing w:after="120"/>
              <w:rPr>
                <w:rFonts w:eastAsia="Calibri" w:cstheme="minorHAnsi"/>
                <w:iCs/>
                <w:sz w:val="24"/>
                <w:szCs w:val="24"/>
              </w:rPr>
            </w:pPr>
            <w:r w:rsidRPr="00D17334">
              <w:rPr>
                <w:rFonts w:eastAsia="Calibri" w:cstheme="minorHAnsi"/>
                <w:iCs/>
                <w:sz w:val="24"/>
                <w:szCs w:val="24"/>
              </w:rPr>
              <w:t xml:space="preserve">Wskaźnik mierzony w ciągu 4 tygodni od zakończenia projektu. Obowiązek weryfikacji wartości wskaźnika należy do instytucji podpisującej umowę z beneficjentem. </w:t>
            </w:r>
          </w:p>
          <w:p w14:paraId="3E57711F" w14:textId="5DF0B9FD" w:rsidR="005951A2" w:rsidRPr="00D17334" w:rsidRDefault="005951A2" w:rsidP="005951A2">
            <w:pPr>
              <w:spacing w:after="120"/>
              <w:rPr>
                <w:rFonts w:eastAsia="Calibri" w:cstheme="minorHAnsi"/>
                <w:iCs/>
                <w:sz w:val="24"/>
                <w:szCs w:val="24"/>
              </w:rPr>
            </w:pPr>
            <w:r w:rsidRPr="00D17334">
              <w:rPr>
                <w:rFonts w:eastAsia="Calibri" w:cstheme="minorHAnsi"/>
                <w:iCs/>
                <w:sz w:val="24"/>
                <w:szCs w:val="24"/>
              </w:rPr>
              <w:lastRenderedPageBreak/>
              <w:t>We wskaźniku nie są uwzględniane podmioty świadczące usługi wspierania rodziny i pieczy zastępczej.</w:t>
            </w:r>
          </w:p>
        </w:tc>
      </w:tr>
      <w:tr w:rsidR="0042768F" w:rsidRPr="00D17334" w14:paraId="052E3E7C" w14:textId="77777777" w:rsidTr="00094411">
        <w:trPr>
          <w:trHeight w:val="726"/>
          <w:jc w:val="center"/>
        </w:trPr>
        <w:tc>
          <w:tcPr>
            <w:tcW w:w="836" w:type="dxa"/>
            <w:tcBorders>
              <w:top w:val="single" w:sz="4" w:space="0" w:color="92D050"/>
              <w:left w:val="single" w:sz="12" w:space="0" w:color="92D050"/>
              <w:bottom w:val="single" w:sz="4" w:space="0" w:color="92D050"/>
            </w:tcBorders>
            <w:shd w:val="clear" w:color="auto" w:fill="auto"/>
            <w:vAlign w:val="center"/>
          </w:tcPr>
          <w:p w14:paraId="7DE574CB" w14:textId="4088BE24" w:rsidR="0042768F" w:rsidRPr="00D17334" w:rsidRDefault="0042768F" w:rsidP="0042768F">
            <w:pPr>
              <w:tabs>
                <w:tab w:val="left" w:pos="3402"/>
                <w:tab w:val="left" w:pos="5103"/>
              </w:tabs>
              <w:spacing w:before="60" w:after="60"/>
              <w:jc w:val="center"/>
              <w:rPr>
                <w:rFonts w:cstheme="minorHAnsi"/>
                <w:iCs/>
                <w:sz w:val="24"/>
                <w:szCs w:val="24"/>
              </w:rPr>
            </w:pPr>
            <w:r>
              <w:rPr>
                <w:rFonts w:cstheme="minorHAnsi"/>
                <w:iCs/>
                <w:sz w:val="24"/>
                <w:szCs w:val="24"/>
              </w:rPr>
              <w:lastRenderedPageBreak/>
              <w:t>7</w:t>
            </w:r>
            <w:r w:rsidRPr="00D17334">
              <w:rPr>
                <w:rFonts w:cstheme="minorHAnsi"/>
                <w:iCs/>
                <w:sz w:val="24"/>
                <w:szCs w:val="24"/>
              </w:rPr>
              <w:t>.</w:t>
            </w:r>
          </w:p>
        </w:tc>
        <w:tc>
          <w:tcPr>
            <w:tcW w:w="3260" w:type="dxa"/>
            <w:tcBorders>
              <w:top w:val="single" w:sz="4" w:space="0" w:color="92D050"/>
              <w:bottom w:val="single" w:sz="4" w:space="0" w:color="92D050"/>
            </w:tcBorders>
            <w:vAlign w:val="center"/>
          </w:tcPr>
          <w:p w14:paraId="66BE8BD3" w14:textId="771C063C" w:rsidR="0042768F" w:rsidRPr="00C05057" w:rsidRDefault="0042768F" w:rsidP="0042768F">
            <w:pPr>
              <w:tabs>
                <w:tab w:val="left" w:pos="3402"/>
                <w:tab w:val="left" w:pos="5103"/>
              </w:tabs>
              <w:spacing w:before="60" w:after="60"/>
              <w:rPr>
                <w:rFonts w:cstheme="minorHAnsi"/>
                <w:iCs/>
                <w:sz w:val="24"/>
                <w:szCs w:val="24"/>
              </w:rPr>
            </w:pPr>
            <w:r w:rsidRPr="00C05057">
              <w:rPr>
                <w:rFonts w:eastAsia="Times New Roman" w:cstheme="minorHAnsi"/>
                <w:iCs/>
                <w:sz w:val="24"/>
                <w:szCs w:val="24"/>
              </w:rPr>
              <w:t>Liczba osób świadczących usługi w społeczności lokalnej dzięki wsparciu w programie</w:t>
            </w:r>
          </w:p>
        </w:tc>
        <w:tc>
          <w:tcPr>
            <w:tcW w:w="1276" w:type="dxa"/>
            <w:tcBorders>
              <w:top w:val="single" w:sz="4" w:space="0" w:color="92D050"/>
              <w:bottom w:val="single" w:sz="4" w:space="0" w:color="92D050"/>
            </w:tcBorders>
            <w:shd w:val="clear" w:color="auto" w:fill="auto"/>
            <w:vAlign w:val="center"/>
          </w:tcPr>
          <w:p w14:paraId="37071610" w14:textId="09281826" w:rsidR="0042768F" w:rsidRPr="00D17334" w:rsidRDefault="0042768F" w:rsidP="0042768F">
            <w:pPr>
              <w:tabs>
                <w:tab w:val="left" w:pos="3402"/>
                <w:tab w:val="left" w:pos="5103"/>
              </w:tabs>
              <w:spacing w:before="60" w:after="60"/>
              <w:jc w:val="center"/>
              <w:rPr>
                <w:rFonts w:eastAsia="Times New Roman" w:cstheme="minorHAnsi"/>
                <w:iCs/>
                <w:sz w:val="24"/>
                <w:szCs w:val="24"/>
                <w:lang w:eastAsia="pl-PL"/>
              </w:rPr>
            </w:pPr>
            <w:r w:rsidRPr="00D17334">
              <w:rPr>
                <w:rFonts w:eastAsia="Times New Roman" w:cstheme="minorHAnsi"/>
                <w:iCs/>
                <w:sz w:val="24"/>
                <w:szCs w:val="24"/>
                <w:lang w:eastAsia="pl-PL"/>
              </w:rPr>
              <w:t>osoby</w:t>
            </w:r>
          </w:p>
        </w:tc>
        <w:tc>
          <w:tcPr>
            <w:tcW w:w="1413" w:type="dxa"/>
            <w:tcBorders>
              <w:top w:val="single" w:sz="4" w:space="0" w:color="92D050"/>
              <w:bottom w:val="single" w:sz="4" w:space="0" w:color="92D050"/>
            </w:tcBorders>
            <w:shd w:val="clear" w:color="auto" w:fill="auto"/>
            <w:vAlign w:val="center"/>
          </w:tcPr>
          <w:p w14:paraId="25E639AF" w14:textId="62331017" w:rsidR="0042768F" w:rsidRPr="00D17334" w:rsidRDefault="0042768F" w:rsidP="0042768F">
            <w:pPr>
              <w:tabs>
                <w:tab w:val="left" w:pos="3402"/>
                <w:tab w:val="left" w:pos="5103"/>
              </w:tabs>
              <w:spacing w:before="60" w:after="60"/>
              <w:ind w:left="-183" w:right="-193"/>
              <w:jc w:val="center"/>
              <w:rPr>
                <w:rFonts w:eastAsia="Calibri" w:cstheme="minorHAnsi"/>
                <w:iCs/>
                <w:sz w:val="24"/>
                <w:szCs w:val="24"/>
              </w:rPr>
            </w:pPr>
            <w:r w:rsidRPr="00D17334">
              <w:rPr>
                <w:rFonts w:eastAsia="Calibri" w:cstheme="minorHAnsi"/>
                <w:iCs/>
                <w:sz w:val="24"/>
                <w:szCs w:val="24"/>
              </w:rPr>
              <w:t>rezultat bezpośredni</w:t>
            </w:r>
          </w:p>
        </w:tc>
        <w:tc>
          <w:tcPr>
            <w:tcW w:w="1422" w:type="dxa"/>
            <w:tcBorders>
              <w:top w:val="single" w:sz="4" w:space="0" w:color="92D050"/>
              <w:bottom w:val="single" w:sz="4" w:space="0" w:color="92D050"/>
            </w:tcBorders>
            <w:shd w:val="clear" w:color="auto" w:fill="auto"/>
            <w:vAlign w:val="center"/>
          </w:tcPr>
          <w:p w14:paraId="0C3FA833" w14:textId="7B8A2DDA" w:rsidR="0042768F" w:rsidRPr="00D17334" w:rsidRDefault="0042768F" w:rsidP="0042768F">
            <w:pPr>
              <w:spacing w:before="60" w:after="60"/>
              <w:ind w:right="-93"/>
              <w:jc w:val="center"/>
              <w:rPr>
                <w:rFonts w:eastAsia="Calibri" w:cstheme="minorHAnsi"/>
                <w:iCs/>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012453CB" w14:textId="7F0E0CDC" w:rsidR="0042768F" w:rsidRPr="00D17334" w:rsidRDefault="0042768F" w:rsidP="0042768F">
            <w:pPr>
              <w:tabs>
                <w:tab w:val="left" w:pos="3402"/>
                <w:tab w:val="left" w:pos="5103"/>
              </w:tabs>
              <w:spacing w:before="60" w:after="60"/>
              <w:ind w:left="-8"/>
              <w:contextualSpacing/>
              <w:jc w:val="center"/>
              <w:rPr>
                <w:rFonts w:eastAsia="Calibri" w:cstheme="minorHAnsi"/>
                <w:iCs/>
                <w:sz w:val="24"/>
                <w:szCs w:val="24"/>
              </w:rPr>
            </w:pPr>
            <w:r w:rsidRPr="00D17334">
              <w:rPr>
                <w:rFonts w:eastAsia="Calibri" w:cstheme="minorHAnsi"/>
                <w:iCs/>
                <w:sz w:val="24"/>
                <w:szCs w:val="24"/>
              </w:rPr>
              <w:t>-</w:t>
            </w:r>
          </w:p>
        </w:tc>
        <w:tc>
          <w:tcPr>
            <w:tcW w:w="5537" w:type="dxa"/>
            <w:tcBorders>
              <w:top w:val="single" w:sz="4" w:space="0" w:color="92D050"/>
              <w:bottom w:val="single" w:sz="4" w:space="0" w:color="92D050"/>
              <w:right w:val="single" w:sz="12" w:space="0" w:color="92D050"/>
            </w:tcBorders>
            <w:vAlign w:val="center"/>
          </w:tcPr>
          <w:p w14:paraId="5BFD3B97" w14:textId="77777777" w:rsidR="0042768F" w:rsidRPr="00D17334" w:rsidRDefault="0042768F" w:rsidP="0042768F">
            <w:pPr>
              <w:spacing w:after="120"/>
              <w:rPr>
                <w:rFonts w:eastAsia="Times New Roman" w:cstheme="minorHAnsi"/>
                <w:iCs/>
                <w:sz w:val="24"/>
                <w:szCs w:val="24"/>
                <w:lang w:eastAsia="pl-PL"/>
              </w:rPr>
            </w:pPr>
            <w:r w:rsidRPr="00D17334">
              <w:rPr>
                <w:rFonts w:eastAsia="Times New Roman" w:cstheme="minorHAnsi"/>
                <w:iCs/>
                <w:sz w:val="24"/>
                <w:szCs w:val="24"/>
                <w:lang w:eastAsia="pl-PL"/>
              </w:rPr>
              <w:t>Wskaźnik obejmuje osoby, które świadczą lub są gotowe do świadczenia usług społecznych lub usług zdrowotnych w społeczności lokalnej po zakończeniu projektu, dzięki wsparciu EFS+.</w:t>
            </w:r>
          </w:p>
          <w:p w14:paraId="1CE3E5A7" w14:textId="77777777" w:rsidR="0042768F" w:rsidRPr="00D17334" w:rsidRDefault="0042768F" w:rsidP="0042768F">
            <w:pPr>
              <w:spacing w:after="120"/>
              <w:rPr>
                <w:rFonts w:eastAsia="Times New Roman" w:cstheme="minorHAnsi"/>
                <w:iCs/>
                <w:sz w:val="24"/>
                <w:szCs w:val="24"/>
                <w:lang w:eastAsia="pl-PL"/>
              </w:rPr>
            </w:pPr>
            <w:r w:rsidRPr="00D17334">
              <w:rPr>
                <w:rFonts w:eastAsia="Times New Roman" w:cstheme="minorHAnsi"/>
                <w:iCs/>
                <w:sz w:val="24"/>
                <w:szCs w:val="24"/>
                <w:lang w:eastAsia="pl-PL"/>
              </w:rPr>
              <w:t>Wskaźnik obejmuje osoby, które świadczą usługi niestacjonarnie (tj. nie w ramach placówek/ośrodków/mieszkań wspomaganych itp.), w tym m.in. osoby świadczące usługi opiekuńcze, specjalistyczne usługi opiekuńcze lub pielęgnacyjne w miejscu zamieszkania, osoby świadczące usługi asystenckie, opiekunów faktycznych.</w:t>
            </w:r>
          </w:p>
          <w:p w14:paraId="6DEDEA51" w14:textId="77777777" w:rsidR="0042768F" w:rsidRPr="00D17334" w:rsidRDefault="0042768F" w:rsidP="0042768F">
            <w:pPr>
              <w:spacing w:after="120"/>
              <w:rPr>
                <w:rFonts w:eastAsia="Times New Roman" w:cstheme="minorHAnsi"/>
                <w:iCs/>
                <w:sz w:val="24"/>
                <w:szCs w:val="24"/>
                <w:lang w:eastAsia="pl-PL"/>
              </w:rPr>
            </w:pPr>
            <w:r w:rsidRPr="00D17334">
              <w:rPr>
                <w:rFonts w:eastAsia="Times New Roman" w:cstheme="minorHAnsi"/>
                <w:iCs/>
                <w:sz w:val="24"/>
                <w:szCs w:val="24"/>
                <w:lang w:eastAsia="pl-PL"/>
              </w:rPr>
              <w:t>Wskaźnik mierzony w ciągu 4 tygodni od zakończenia projektu. Obowiązek weryfikacji wartości wskaźnika należy do instytucji podpisującej umowę z beneficjentem.</w:t>
            </w:r>
          </w:p>
          <w:p w14:paraId="69AF4D1D" w14:textId="5B431D89" w:rsidR="0042768F" w:rsidRPr="00D17334" w:rsidRDefault="0042768F" w:rsidP="0042768F">
            <w:pPr>
              <w:spacing w:after="120"/>
              <w:rPr>
                <w:rFonts w:eastAsia="Calibri" w:cstheme="minorHAnsi"/>
                <w:b/>
                <w:iCs/>
                <w:sz w:val="40"/>
                <w:szCs w:val="40"/>
              </w:rPr>
            </w:pPr>
            <w:r w:rsidRPr="00D17334">
              <w:rPr>
                <w:rFonts w:eastAsia="Times New Roman" w:cstheme="minorHAnsi"/>
                <w:iCs/>
                <w:sz w:val="24"/>
                <w:szCs w:val="24"/>
                <w:lang w:eastAsia="pl-PL"/>
              </w:rPr>
              <w:t>We wskaźniku nie są uwzględniane osoby świadczące usługi wspierania rodziny i pieczy zastępczej.</w:t>
            </w:r>
          </w:p>
        </w:tc>
      </w:tr>
      <w:tr w:rsidR="0042768F" w:rsidRPr="00D17334" w14:paraId="514A9544" w14:textId="77777777" w:rsidTr="00094411">
        <w:trPr>
          <w:trHeight w:val="726"/>
          <w:jc w:val="center"/>
        </w:trPr>
        <w:tc>
          <w:tcPr>
            <w:tcW w:w="836" w:type="dxa"/>
            <w:tcBorders>
              <w:top w:val="single" w:sz="4" w:space="0" w:color="92D050"/>
              <w:left w:val="single" w:sz="12" w:space="0" w:color="92D050"/>
              <w:bottom w:val="single" w:sz="4" w:space="0" w:color="92D050"/>
            </w:tcBorders>
            <w:shd w:val="clear" w:color="auto" w:fill="auto"/>
            <w:vAlign w:val="center"/>
          </w:tcPr>
          <w:p w14:paraId="7399FA82" w14:textId="593C31C0" w:rsidR="0042768F" w:rsidRPr="00D17334" w:rsidRDefault="0042768F" w:rsidP="0042768F">
            <w:pPr>
              <w:tabs>
                <w:tab w:val="left" w:pos="3402"/>
                <w:tab w:val="left" w:pos="5103"/>
              </w:tabs>
              <w:spacing w:before="60" w:after="60"/>
              <w:jc w:val="center"/>
              <w:rPr>
                <w:rFonts w:cstheme="minorHAnsi"/>
                <w:iCs/>
                <w:sz w:val="24"/>
                <w:szCs w:val="24"/>
              </w:rPr>
            </w:pPr>
            <w:r>
              <w:rPr>
                <w:rFonts w:cstheme="minorHAnsi"/>
                <w:iCs/>
                <w:sz w:val="24"/>
                <w:szCs w:val="24"/>
              </w:rPr>
              <w:t>8</w:t>
            </w:r>
            <w:r w:rsidRPr="00D17334">
              <w:rPr>
                <w:rFonts w:cstheme="minorHAnsi"/>
                <w:iCs/>
                <w:sz w:val="24"/>
                <w:szCs w:val="24"/>
              </w:rPr>
              <w:t>.</w:t>
            </w:r>
          </w:p>
        </w:tc>
        <w:tc>
          <w:tcPr>
            <w:tcW w:w="3260" w:type="dxa"/>
            <w:tcBorders>
              <w:top w:val="single" w:sz="4" w:space="0" w:color="92D050"/>
              <w:bottom w:val="single" w:sz="4" w:space="0" w:color="92D050"/>
            </w:tcBorders>
            <w:vAlign w:val="center"/>
          </w:tcPr>
          <w:p w14:paraId="752C308B" w14:textId="38D0F134" w:rsidR="0042768F" w:rsidRPr="00C05057" w:rsidRDefault="0042768F" w:rsidP="0042768F">
            <w:pPr>
              <w:tabs>
                <w:tab w:val="left" w:pos="3402"/>
                <w:tab w:val="left" w:pos="5103"/>
              </w:tabs>
              <w:spacing w:before="60" w:after="60"/>
              <w:rPr>
                <w:rFonts w:cstheme="minorHAnsi"/>
                <w:iCs/>
                <w:sz w:val="24"/>
                <w:szCs w:val="24"/>
              </w:rPr>
            </w:pPr>
            <w:r w:rsidRPr="00C05057">
              <w:rPr>
                <w:rFonts w:cstheme="minorHAnsi"/>
                <w:iCs/>
                <w:sz w:val="24"/>
                <w:szCs w:val="24"/>
              </w:rPr>
              <w:t>Liczba osób, które opuściły opiekę instytucjonalną dzięki wsparciu w programie</w:t>
            </w:r>
          </w:p>
        </w:tc>
        <w:tc>
          <w:tcPr>
            <w:tcW w:w="1276" w:type="dxa"/>
            <w:tcBorders>
              <w:top w:val="single" w:sz="4" w:space="0" w:color="92D050"/>
              <w:bottom w:val="single" w:sz="4" w:space="0" w:color="92D050"/>
            </w:tcBorders>
            <w:shd w:val="clear" w:color="auto" w:fill="auto"/>
            <w:vAlign w:val="center"/>
          </w:tcPr>
          <w:p w14:paraId="3B4F2887" w14:textId="45F958F9" w:rsidR="0042768F" w:rsidRPr="00D17334" w:rsidRDefault="0042768F" w:rsidP="0042768F">
            <w:pPr>
              <w:tabs>
                <w:tab w:val="left" w:pos="3402"/>
                <w:tab w:val="left" w:pos="5103"/>
              </w:tabs>
              <w:spacing w:before="60" w:after="60"/>
              <w:jc w:val="center"/>
              <w:rPr>
                <w:rFonts w:eastAsia="Times New Roman" w:cstheme="minorHAnsi"/>
                <w:iCs/>
                <w:sz w:val="24"/>
                <w:szCs w:val="24"/>
                <w:lang w:eastAsia="pl-PL"/>
              </w:rPr>
            </w:pPr>
          </w:p>
        </w:tc>
        <w:tc>
          <w:tcPr>
            <w:tcW w:w="1413" w:type="dxa"/>
            <w:tcBorders>
              <w:top w:val="single" w:sz="4" w:space="0" w:color="92D050"/>
              <w:bottom w:val="single" w:sz="4" w:space="0" w:color="92D050"/>
            </w:tcBorders>
            <w:shd w:val="clear" w:color="auto" w:fill="auto"/>
            <w:vAlign w:val="center"/>
          </w:tcPr>
          <w:p w14:paraId="66D28966" w14:textId="42C228F7" w:rsidR="0042768F" w:rsidRPr="00D17334" w:rsidRDefault="0042768F" w:rsidP="0042768F">
            <w:pPr>
              <w:tabs>
                <w:tab w:val="left" w:pos="3402"/>
                <w:tab w:val="left" w:pos="5103"/>
              </w:tabs>
              <w:spacing w:before="60" w:after="60"/>
              <w:ind w:left="-183" w:right="-193"/>
              <w:jc w:val="center"/>
              <w:rPr>
                <w:rFonts w:eastAsia="Calibri" w:cstheme="minorHAnsi"/>
                <w:iCs/>
                <w:sz w:val="24"/>
                <w:szCs w:val="24"/>
              </w:rPr>
            </w:pPr>
            <w:r w:rsidRPr="00D17334">
              <w:rPr>
                <w:rFonts w:eastAsia="Calibri" w:cstheme="minorHAnsi"/>
                <w:iCs/>
                <w:sz w:val="24"/>
                <w:szCs w:val="24"/>
              </w:rPr>
              <w:t>rezultat bezpośredni</w:t>
            </w:r>
          </w:p>
        </w:tc>
        <w:tc>
          <w:tcPr>
            <w:tcW w:w="1422" w:type="dxa"/>
            <w:tcBorders>
              <w:top w:val="single" w:sz="4" w:space="0" w:color="92D050"/>
              <w:bottom w:val="single" w:sz="4" w:space="0" w:color="92D050"/>
            </w:tcBorders>
            <w:shd w:val="clear" w:color="auto" w:fill="auto"/>
            <w:vAlign w:val="center"/>
          </w:tcPr>
          <w:p w14:paraId="35EDFD66" w14:textId="2454C811" w:rsidR="0042768F" w:rsidRPr="00D17334" w:rsidRDefault="0042768F" w:rsidP="0042768F">
            <w:pPr>
              <w:spacing w:before="60" w:after="60"/>
              <w:ind w:right="-93"/>
              <w:jc w:val="center"/>
              <w:rPr>
                <w:rFonts w:eastAsia="Calibri" w:cstheme="minorHAnsi"/>
                <w:iCs/>
                <w:sz w:val="24"/>
                <w:szCs w:val="24"/>
              </w:rPr>
            </w:pPr>
            <w:r w:rsidRPr="00D17334">
              <w:rPr>
                <w:rFonts w:eastAsia="Calibri" w:cstheme="minorHAnsi"/>
                <w:iCs/>
                <w:sz w:val="24"/>
                <w:szCs w:val="24"/>
              </w:rPr>
              <w:t>kluczowy</w:t>
            </w:r>
          </w:p>
        </w:tc>
        <w:tc>
          <w:tcPr>
            <w:tcW w:w="1834" w:type="dxa"/>
            <w:tcBorders>
              <w:top w:val="single" w:sz="4" w:space="0" w:color="92D050"/>
              <w:bottom w:val="single" w:sz="4" w:space="0" w:color="92D050"/>
            </w:tcBorders>
            <w:vAlign w:val="center"/>
          </w:tcPr>
          <w:p w14:paraId="061F08C0" w14:textId="638BFF07" w:rsidR="0042768F" w:rsidRPr="00D17334" w:rsidRDefault="0042768F" w:rsidP="0042768F">
            <w:pPr>
              <w:tabs>
                <w:tab w:val="left" w:pos="3402"/>
                <w:tab w:val="left" w:pos="5103"/>
              </w:tabs>
              <w:spacing w:before="60" w:after="60"/>
              <w:ind w:left="-8"/>
              <w:contextualSpacing/>
              <w:jc w:val="center"/>
              <w:rPr>
                <w:rFonts w:eastAsia="Calibri" w:cstheme="minorHAnsi"/>
                <w:iCs/>
                <w:sz w:val="24"/>
                <w:szCs w:val="24"/>
              </w:rPr>
            </w:pPr>
            <w:r w:rsidRPr="00D17334">
              <w:rPr>
                <w:rFonts w:eastAsia="Calibri" w:cstheme="minorHAnsi"/>
                <w:iCs/>
                <w:sz w:val="24"/>
                <w:szCs w:val="24"/>
              </w:rPr>
              <w:t>-</w:t>
            </w:r>
          </w:p>
        </w:tc>
        <w:tc>
          <w:tcPr>
            <w:tcW w:w="5537" w:type="dxa"/>
            <w:tcBorders>
              <w:top w:val="single" w:sz="4" w:space="0" w:color="92D050"/>
              <w:bottom w:val="single" w:sz="4" w:space="0" w:color="92D050"/>
              <w:right w:val="single" w:sz="12" w:space="0" w:color="92D050"/>
            </w:tcBorders>
            <w:vAlign w:val="center"/>
          </w:tcPr>
          <w:p w14:paraId="2DAA53BD" w14:textId="77777777" w:rsidR="0042768F" w:rsidRPr="00D17334" w:rsidRDefault="0042768F" w:rsidP="0042768F">
            <w:pPr>
              <w:pStyle w:val="Akapitzlist"/>
              <w:spacing w:after="120"/>
              <w:ind w:left="42"/>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Wskaźnik obejmuje osoby dorosłe, które dzięki udziałowi w projekcie opuściły instytucje całodobowej opieki i korzystają z usług świadczonych w społeczności lokalnej.</w:t>
            </w:r>
          </w:p>
          <w:p w14:paraId="7A5B427D" w14:textId="77777777" w:rsidR="0042768F" w:rsidRPr="00D17334" w:rsidRDefault="0042768F" w:rsidP="0042768F">
            <w:pPr>
              <w:pStyle w:val="Akapitzlist"/>
              <w:spacing w:after="120"/>
              <w:ind w:left="42"/>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Definicje opieki instytucjonalnej oraz usług świadczonych w społeczności lokalnej należy </w:t>
            </w:r>
            <w:r w:rsidRPr="00D17334">
              <w:rPr>
                <w:rFonts w:asciiTheme="minorHAnsi" w:hAnsiTheme="minorHAnsi" w:cstheme="minorHAnsi"/>
                <w:iCs/>
                <w:sz w:val="24"/>
                <w:szCs w:val="24"/>
                <w:lang w:eastAsia="pl-PL"/>
              </w:rPr>
              <w:lastRenderedPageBreak/>
              <w:t>rozumieć zgodnie z definicjami wskazanymi w wytycznych ministra właściwego ds. rozwoju regionalnego.</w:t>
            </w:r>
          </w:p>
          <w:p w14:paraId="1A12A488" w14:textId="77777777" w:rsidR="0042768F" w:rsidRPr="00D17334" w:rsidRDefault="0042768F" w:rsidP="0042768F">
            <w:pPr>
              <w:pStyle w:val="Akapitzlist"/>
              <w:spacing w:after="120"/>
              <w:ind w:left="42"/>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Wskaźnik mierzony w ciągu 4 tygodni od zakończenia projektu. Obowiązek weryfikacji wartości wskaźnika należy do instytucji podpisującej umowę z beneficjentem.</w:t>
            </w:r>
          </w:p>
          <w:p w14:paraId="583EB744" w14:textId="77777777" w:rsidR="0042768F" w:rsidRPr="00D17334" w:rsidRDefault="0042768F" w:rsidP="0042768F">
            <w:pPr>
              <w:pStyle w:val="Akapitzlist"/>
              <w:spacing w:after="120"/>
              <w:ind w:left="42"/>
              <w:rPr>
                <w:rFonts w:asciiTheme="minorHAnsi" w:hAnsiTheme="minorHAnsi" w:cstheme="minorHAnsi"/>
                <w:iCs/>
                <w:sz w:val="24"/>
                <w:szCs w:val="24"/>
                <w:lang w:eastAsia="pl-PL"/>
              </w:rPr>
            </w:pPr>
            <w:r w:rsidRPr="00D17334">
              <w:rPr>
                <w:rFonts w:asciiTheme="minorHAnsi" w:hAnsiTheme="minorHAnsi" w:cstheme="minorHAnsi"/>
                <w:iCs/>
                <w:sz w:val="24"/>
                <w:szCs w:val="24"/>
                <w:lang w:eastAsia="pl-PL"/>
              </w:rPr>
              <w:t xml:space="preserve">Wskaźnik podlegający jedynie monitorowaniu. </w:t>
            </w:r>
          </w:p>
          <w:p w14:paraId="6F9F674B" w14:textId="79099EF1" w:rsidR="0042768F" w:rsidRPr="00D17334" w:rsidRDefault="0042768F" w:rsidP="0042768F">
            <w:pPr>
              <w:spacing w:after="120"/>
              <w:rPr>
                <w:rFonts w:eastAsia="Calibri" w:cstheme="minorHAnsi"/>
                <w:iCs/>
                <w:sz w:val="24"/>
                <w:szCs w:val="24"/>
              </w:rPr>
            </w:pPr>
            <w:r w:rsidRPr="00D17334">
              <w:rPr>
                <w:rFonts w:cstheme="minorHAnsi"/>
                <w:iCs/>
                <w:sz w:val="24"/>
                <w:szCs w:val="24"/>
                <w:lang w:eastAsia="pl-PL"/>
              </w:rPr>
              <w:t xml:space="preserve">We wskaźniku nie są uwzględniane dzieci i młodzież monitorowane we wskaźniku: </w:t>
            </w:r>
            <w:r w:rsidRPr="00D17334">
              <w:rPr>
                <w:rFonts w:cstheme="minorHAnsi"/>
                <w:iCs/>
                <w:sz w:val="24"/>
                <w:szCs w:val="24"/>
              </w:rPr>
              <w:t>Liczba dzieci i młodzieży, które opuściły opiekę instytucjonalną dzięki wsparciu w programie.</w:t>
            </w:r>
          </w:p>
        </w:tc>
      </w:tr>
    </w:tbl>
    <w:p w14:paraId="3A08A4F6" w14:textId="77777777" w:rsidR="006A5284" w:rsidRPr="00D17334" w:rsidRDefault="006A5284" w:rsidP="00597E11">
      <w:pPr>
        <w:rPr>
          <w:rFonts w:eastAsia="Calibri" w:cstheme="minorHAnsi"/>
          <w:b/>
          <w:iCs/>
          <w:sz w:val="20"/>
          <w:szCs w:val="20"/>
          <w:lang w:eastAsia="pl-PL"/>
        </w:rPr>
      </w:pPr>
    </w:p>
    <w:sectPr w:rsidR="006A5284" w:rsidRPr="00D17334" w:rsidSect="00B55841">
      <w:footerReference w:type="default" r:id="rId13"/>
      <w:headerReference w:type="first" r:id="rId14"/>
      <w:footnotePr>
        <w:numFmt w:val="chicago"/>
      </w:footnotePr>
      <w:pgSz w:w="16838" w:h="11906" w:orient="landscape"/>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1CBF" w14:textId="77777777" w:rsidR="00EE3E3E" w:rsidRDefault="00EE3E3E" w:rsidP="00A11280">
      <w:pPr>
        <w:spacing w:after="0" w:line="240" w:lineRule="auto"/>
      </w:pPr>
      <w:r>
        <w:separator/>
      </w:r>
    </w:p>
  </w:endnote>
  <w:endnote w:type="continuationSeparator" w:id="0">
    <w:p w14:paraId="11D1114A" w14:textId="77777777" w:rsidR="00EE3E3E" w:rsidRDefault="00EE3E3E" w:rsidP="00A11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582809"/>
      <w:docPartObj>
        <w:docPartGallery w:val="Page Numbers (Bottom of Page)"/>
        <w:docPartUnique/>
      </w:docPartObj>
    </w:sdtPr>
    <w:sdtEndPr/>
    <w:sdtContent>
      <w:sdt>
        <w:sdtPr>
          <w:id w:val="-1769616900"/>
          <w:docPartObj>
            <w:docPartGallery w:val="Page Numbers (Top of Page)"/>
            <w:docPartUnique/>
          </w:docPartObj>
        </w:sdtPr>
        <w:sdtEndPr/>
        <w:sdtContent>
          <w:p w14:paraId="2874A837" w14:textId="4BE7282A" w:rsidR="00E57F41" w:rsidRDefault="00E57F4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300890">
              <w:rPr>
                <w:b/>
                <w:bCs/>
                <w:noProof/>
              </w:rPr>
              <w:t>48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00890">
              <w:rPr>
                <w:b/>
                <w:bCs/>
                <w:noProof/>
              </w:rPr>
              <w:t>49</w:t>
            </w:r>
            <w:r>
              <w:rPr>
                <w:b/>
                <w:bCs/>
                <w:sz w:val="24"/>
                <w:szCs w:val="24"/>
              </w:rPr>
              <w:fldChar w:fldCharType="end"/>
            </w:r>
          </w:p>
        </w:sdtContent>
      </w:sdt>
    </w:sdtContent>
  </w:sdt>
  <w:p w14:paraId="1CE2B7A3" w14:textId="76F31B25" w:rsidR="00E57F41" w:rsidRDefault="00E57F41" w:rsidP="00442FE8">
    <w:pPr>
      <w:pStyle w:val="Stopka"/>
      <w:tabs>
        <w:tab w:val="clear" w:pos="4536"/>
        <w:tab w:val="clear" w:pos="9072"/>
        <w:tab w:val="left" w:pos="790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8EA6" w14:textId="77777777" w:rsidR="00EE3E3E" w:rsidRDefault="00EE3E3E" w:rsidP="00A11280">
      <w:pPr>
        <w:spacing w:after="0" w:line="240" w:lineRule="auto"/>
      </w:pPr>
      <w:r>
        <w:separator/>
      </w:r>
    </w:p>
  </w:footnote>
  <w:footnote w:type="continuationSeparator" w:id="0">
    <w:p w14:paraId="0784BAC5" w14:textId="77777777" w:rsidR="00EE3E3E" w:rsidRDefault="00EE3E3E" w:rsidP="00A11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637F" w14:textId="7BB296C6" w:rsidR="00E57F41" w:rsidRDefault="009727A7" w:rsidP="00C6017A">
    <w:pPr>
      <w:autoSpaceDE w:val="0"/>
      <w:spacing w:after="0"/>
      <w:rPr>
        <w:rFonts w:ascii="Calibri" w:eastAsia="Calibri" w:hAnsi="Calibri" w:cs="Times New Roman"/>
        <w:iCs/>
        <w:sz w:val="24"/>
        <w:szCs w:val="24"/>
      </w:rPr>
    </w:pPr>
    <w:bookmarkStart w:id="0" w:name="_Hlk129158958"/>
    <w:r w:rsidRPr="00616630">
      <w:rPr>
        <w:rFonts w:ascii="Calibri" w:eastAsia="Calibri" w:hAnsi="Calibri" w:cs="Times New Roman"/>
        <w:b/>
        <w:bCs/>
        <w:iCs/>
        <w:sz w:val="24"/>
        <w:szCs w:val="24"/>
      </w:rPr>
      <w:t xml:space="preserve">Załącznik nr </w:t>
    </w:r>
    <w:r w:rsidR="00BE4B87" w:rsidRPr="00616630">
      <w:rPr>
        <w:rFonts w:ascii="Calibri" w:eastAsia="Calibri" w:hAnsi="Calibri" w:cs="Times New Roman"/>
        <w:b/>
        <w:bCs/>
        <w:iCs/>
        <w:sz w:val="24"/>
        <w:szCs w:val="24"/>
      </w:rPr>
      <w:t>7</w:t>
    </w:r>
    <w:r w:rsidRPr="00616630">
      <w:rPr>
        <w:rFonts w:ascii="Calibri" w:eastAsia="Calibri" w:hAnsi="Calibri" w:cs="Times New Roman"/>
        <w:bCs/>
        <w:iCs/>
        <w:sz w:val="24"/>
        <w:szCs w:val="24"/>
      </w:rPr>
      <w:t xml:space="preserve"> </w:t>
    </w:r>
    <w:bookmarkEnd w:id="0"/>
    <w:r w:rsidR="00BE4B87" w:rsidRPr="00616630">
      <w:rPr>
        <w:rFonts w:ascii="Calibri" w:eastAsia="Calibri" w:hAnsi="Calibri" w:cs="Times New Roman"/>
        <w:bCs/>
        <w:iCs/>
        <w:sz w:val="24"/>
        <w:szCs w:val="24"/>
      </w:rPr>
      <w:t xml:space="preserve">do </w:t>
    </w:r>
    <w:r w:rsidR="00BE4B87" w:rsidRPr="00616630">
      <w:rPr>
        <w:rFonts w:ascii="Calibri" w:eastAsia="Calibri" w:hAnsi="Calibri" w:cs="Times New Roman" w:hint="eastAsia"/>
        <w:iCs/>
        <w:sz w:val="24"/>
        <w:szCs w:val="24"/>
      </w:rPr>
      <w:t>Regulamin</w:t>
    </w:r>
    <w:r w:rsidR="00BE4B87" w:rsidRPr="00616630">
      <w:rPr>
        <w:rFonts w:ascii="Calibri" w:eastAsia="Calibri" w:hAnsi="Calibri" w:cs="Times New Roman"/>
        <w:iCs/>
        <w:sz w:val="24"/>
        <w:szCs w:val="24"/>
      </w:rPr>
      <w:t>u</w:t>
    </w:r>
    <w:r w:rsidR="00BE4B87" w:rsidRPr="00616630">
      <w:rPr>
        <w:rFonts w:ascii="Calibri" w:eastAsia="Calibri" w:hAnsi="Calibri" w:cs="Times New Roman" w:hint="eastAsia"/>
        <w:iCs/>
        <w:sz w:val="24"/>
        <w:szCs w:val="24"/>
      </w:rPr>
      <w:t xml:space="preserve"> wyboru projektów</w:t>
    </w:r>
    <w:r w:rsidR="00BE4B87" w:rsidRPr="00616630">
      <w:rPr>
        <w:rFonts w:ascii="Calibri" w:eastAsia="Calibri" w:hAnsi="Calibri" w:cs="Times New Roman"/>
        <w:iCs/>
        <w:sz w:val="24"/>
        <w:szCs w:val="24"/>
      </w:rPr>
      <w:t xml:space="preserve"> dotycz</w:t>
    </w:r>
    <w:r w:rsidR="00BE4B87" w:rsidRPr="00616630">
      <w:rPr>
        <w:rFonts w:ascii="Calibri" w:eastAsia="Calibri" w:hAnsi="Calibri" w:cs="Times New Roman" w:hint="cs"/>
        <w:iCs/>
        <w:sz w:val="24"/>
        <w:szCs w:val="24"/>
      </w:rPr>
      <w:t>ą</w:t>
    </w:r>
    <w:r w:rsidR="00BE4B87" w:rsidRPr="00616630">
      <w:rPr>
        <w:rFonts w:ascii="Calibri" w:eastAsia="Calibri" w:hAnsi="Calibri" w:cs="Times New Roman"/>
        <w:iCs/>
        <w:sz w:val="24"/>
        <w:szCs w:val="24"/>
      </w:rPr>
      <w:t>cego projekt</w:t>
    </w:r>
    <w:r w:rsidR="00BE4B87" w:rsidRPr="00616630">
      <w:rPr>
        <w:rFonts w:ascii="Calibri" w:eastAsia="Calibri" w:hAnsi="Calibri" w:cs="Times New Roman" w:hint="eastAsia"/>
        <w:iCs/>
        <w:sz w:val="24"/>
        <w:szCs w:val="24"/>
      </w:rPr>
      <w:t>ó</w:t>
    </w:r>
    <w:r w:rsidR="00BE4B87" w:rsidRPr="00616630">
      <w:rPr>
        <w:rFonts w:ascii="Calibri" w:eastAsia="Calibri" w:hAnsi="Calibri" w:cs="Times New Roman"/>
        <w:iCs/>
        <w:sz w:val="24"/>
        <w:szCs w:val="24"/>
      </w:rPr>
      <w:t>w z</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o</w:t>
    </w:r>
    <w:r w:rsidR="00BE4B87" w:rsidRPr="00616630">
      <w:rPr>
        <w:rFonts w:ascii="Calibri" w:eastAsia="Calibri" w:hAnsi="Calibri" w:cs="Times New Roman" w:hint="cs"/>
        <w:iCs/>
        <w:sz w:val="24"/>
        <w:szCs w:val="24"/>
      </w:rPr>
      <w:t>ż</w:t>
    </w:r>
    <w:r w:rsidR="00BE4B87" w:rsidRPr="00616630">
      <w:rPr>
        <w:rFonts w:ascii="Calibri" w:eastAsia="Calibri" w:hAnsi="Calibri" w:cs="Times New Roman"/>
        <w:iCs/>
        <w:sz w:val="24"/>
        <w:szCs w:val="24"/>
      </w:rPr>
      <w:t>onych w ramach</w:t>
    </w:r>
    <w:r w:rsidR="00616630">
      <w:rPr>
        <w:rFonts w:ascii="Calibri" w:eastAsia="Calibri" w:hAnsi="Calibri" w:cs="Times New Roman"/>
        <w:iCs/>
        <w:sz w:val="24"/>
        <w:szCs w:val="24"/>
      </w:rPr>
      <w:t xml:space="preserve"> </w:t>
    </w:r>
    <w:r w:rsidR="00BE4B87" w:rsidRPr="00616630">
      <w:rPr>
        <w:rFonts w:ascii="Calibri" w:eastAsia="Calibri" w:hAnsi="Calibri" w:cs="Times New Roman"/>
        <w:iCs/>
        <w:sz w:val="24"/>
        <w:szCs w:val="24"/>
      </w:rPr>
      <w:t>post</w:t>
    </w:r>
    <w:r w:rsidR="00BE4B87" w:rsidRPr="00616630">
      <w:rPr>
        <w:rFonts w:ascii="Calibri" w:eastAsia="Calibri" w:hAnsi="Calibri" w:cs="Times New Roman" w:hint="cs"/>
        <w:iCs/>
        <w:sz w:val="24"/>
        <w:szCs w:val="24"/>
      </w:rPr>
      <w:t>ę</w:t>
    </w:r>
    <w:r w:rsidR="00BE4B87" w:rsidRPr="00616630">
      <w:rPr>
        <w:rFonts w:ascii="Calibri" w:eastAsia="Calibri" w:hAnsi="Calibri" w:cs="Times New Roman"/>
        <w:iCs/>
        <w:sz w:val="24"/>
        <w:szCs w:val="24"/>
      </w:rPr>
      <w:t>powania konkurencyjnego dzia</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 xml:space="preserve">ania </w:t>
    </w:r>
    <w:r w:rsidR="00616630">
      <w:rPr>
        <w:rFonts w:ascii="Calibri" w:eastAsia="Calibri" w:hAnsi="Calibri" w:cs="Times New Roman"/>
        <w:iCs/>
        <w:sz w:val="24"/>
        <w:szCs w:val="24"/>
      </w:rPr>
      <w:br/>
    </w:r>
    <w:r w:rsidR="00BE4B87" w:rsidRPr="00616630">
      <w:rPr>
        <w:rFonts w:ascii="Calibri" w:eastAsia="Calibri" w:hAnsi="Calibri" w:cs="Times New Roman"/>
        <w:iCs/>
        <w:sz w:val="24"/>
        <w:szCs w:val="24"/>
      </w:rPr>
      <w:t>7.1 Us</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ugi zdrowotne i spo</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eczne oraz opieka d</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ugoterminowa</w:t>
    </w:r>
    <w:r w:rsidR="00616630">
      <w:rPr>
        <w:rFonts w:ascii="Calibri" w:eastAsia="Calibri" w:hAnsi="Calibri" w:cs="Times New Roman"/>
        <w:iCs/>
        <w:sz w:val="24"/>
        <w:szCs w:val="24"/>
      </w:rPr>
      <w:t>,</w:t>
    </w:r>
    <w:r w:rsidR="00BE4B87" w:rsidRPr="00616630">
      <w:rPr>
        <w:rFonts w:ascii="Calibri" w:eastAsia="Calibri" w:hAnsi="Calibri" w:cs="Times New Roman"/>
        <w:iCs/>
        <w:sz w:val="24"/>
        <w:szCs w:val="24"/>
      </w:rPr>
      <w:t xml:space="preserve"> priorytetu 7 Fundusze Europejskie wspieraj</w:t>
    </w:r>
    <w:r w:rsidR="00BE4B87" w:rsidRPr="00616630">
      <w:rPr>
        <w:rFonts w:ascii="Calibri" w:eastAsia="Calibri" w:hAnsi="Calibri" w:cs="Times New Roman" w:hint="cs"/>
        <w:iCs/>
        <w:sz w:val="24"/>
        <w:szCs w:val="24"/>
      </w:rPr>
      <w:t>ą</w:t>
    </w:r>
    <w:r w:rsidR="00BE4B87" w:rsidRPr="00616630">
      <w:rPr>
        <w:rFonts w:ascii="Calibri" w:eastAsia="Calibri" w:hAnsi="Calibri" w:cs="Times New Roman"/>
        <w:iCs/>
        <w:sz w:val="24"/>
        <w:szCs w:val="24"/>
      </w:rPr>
      <w:t>ce us</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ugi spo</w:t>
    </w:r>
    <w:r w:rsidR="00BE4B87" w:rsidRPr="00616630">
      <w:rPr>
        <w:rFonts w:ascii="Calibri" w:eastAsia="Calibri" w:hAnsi="Calibri" w:cs="Times New Roman" w:hint="cs"/>
        <w:iCs/>
        <w:sz w:val="24"/>
        <w:szCs w:val="24"/>
      </w:rPr>
      <w:t>ł</w:t>
    </w:r>
    <w:r w:rsidR="00BE4B87" w:rsidRPr="00616630">
      <w:rPr>
        <w:rFonts w:ascii="Calibri" w:eastAsia="Calibri" w:hAnsi="Calibri" w:cs="Times New Roman"/>
        <w:iCs/>
        <w:sz w:val="24"/>
        <w:szCs w:val="24"/>
      </w:rPr>
      <w:t xml:space="preserve">eczne i zdrowotne </w:t>
    </w:r>
    <w:r w:rsidR="00BE4B87" w:rsidRPr="00616630">
      <w:rPr>
        <w:rFonts w:ascii="Calibri" w:eastAsia="Calibri" w:hAnsi="Calibri" w:cs="Times New Roman"/>
        <w:iCs/>
        <w:sz w:val="24"/>
        <w:szCs w:val="24"/>
      </w:rPr>
      <w:br/>
      <w:t>w opolskim programu regionalnego FEO 2021-2027 (…), październik 2023 r.</w:t>
    </w:r>
  </w:p>
  <w:p w14:paraId="580A62BB" w14:textId="77777777" w:rsidR="00616630" w:rsidRPr="00616630" w:rsidRDefault="00616630" w:rsidP="00C6017A">
    <w:pPr>
      <w:autoSpaceDE w:val="0"/>
      <w:spacing w:after="0"/>
      <w:rPr>
        <w:rFonts w:ascii="Calibri" w:eastAsia="Calibri" w:hAnsi="Calibri" w:cs="Times New Roman"/>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89D"/>
    <w:multiLevelType w:val="hybridMultilevel"/>
    <w:tmpl w:val="34CE2FB6"/>
    <w:lvl w:ilvl="0" w:tplc="D27C5DA0">
      <w:start w:val="8"/>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 w15:restartNumberingAfterBreak="0">
    <w:nsid w:val="06551619"/>
    <w:multiLevelType w:val="hybridMultilevel"/>
    <w:tmpl w:val="00A29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8703B"/>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230E2"/>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F437CA"/>
    <w:multiLevelType w:val="hybridMultilevel"/>
    <w:tmpl w:val="07D61F12"/>
    <w:lvl w:ilvl="0" w:tplc="0415000F">
      <w:start w:val="1"/>
      <w:numFmt w:val="decimal"/>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5" w15:restartNumberingAfterBreak="0">
    <w:nsid w:val="09F4085B"/>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2C51E9"/>
    <w:multiLevelType w:val="hybridMultilevel"/>
    <w:tmpl w:val="5D669738"/>
    <w:lvl w:ilvl="0" w:tplc="DA28DB98">
      <w:start w:val="1"/>
      <w:numFmt w:val="decimal"/>
      <w:lvlText w:val="%1."/>
      <w:lvlJc w:val="left"/>
      <w:pPr>
        <w:ind w:left="360" w:hanging="360"/>
      </w:pPr>
      <w:rPr>
        <w:sz w:val="16"/>
        <w:szCs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CD73302"/>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774166"/>
    <w:multiLevelType w:val="hybridMultilevel"/>
    <w:tmpl w:val="DFE84DFA"/>
    <w:lvl w:ilvl="0" w:tplc="C16E4BD8">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19417C8D"/>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113701"/>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7523AC"/>
    <w:multiLevelType w:val="hybridMultilevel"/>
    <w:tmpl w:val="7F706CC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 w15:restartNumberingAfterBreak="0">
    <w:nsid w:val="1DD70AF2"/>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A63D7C"/>
    <w:multiLevelType w:val="hybridMultilevel"/>
    <w:tmpl w:val="18E09EB0"/>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4" w15:restartNumberingAfterBreak="0">
    <w:nsid w:val="243C5674"/>
    <w:multiLevelType w:val="hybridMultilevel"/>
    <w:tmpl w:val="AD3EC724"/>
    <w:lvl w:ilvl="0" w:tplc="04150011">
      <w:start w:val="1"/>
      <w:numFmt w:val="decimal"/>
      <w:lvlText w:val="%1)"/>
      <w:lvlJc w:val="left"/>
      <w:pPr>
        <w:ind w:left="1179" w:hanging="360"/>
      </w:pPr>
      <w:rPr>
        <w:rFonts w:hint="default"/>
      </w:rPr>
    </w:lvl>
    <w:lvl w:ilvl="1" w:tplc="04150019" w:tentative="1">
      <w:start w:val="1"/>
      <w:numFmt w:val="lowerLetter"/>
      <w:lvlText w:val="%2."/>
      <w:lvlJc w:val="left"/>
      <w:pPr>
        <w:ind w:left="1899" w:hanging="360"/>
      </w:pPr>
    </w:lvl>
    <w:lvl w:ilvl="2" w:tplc="0415001B" w:tentative="1">
      <w:start w:val="1"/>
      <w:numFmt w:val="lowerRoman"/>
      <w:lvlText w:val="%3."/>
      <w:lvlJc w:val="right"/>
      <w:pPr>
        <w:ind w:left="2619" w:hanging="180"/>
      </w:pPr>
    </w:lvl>
    <w:lvl w:ilvl="3" w:tplc="0415000F" w:tentative="1">
      <w:start w:val="1"/>
      <w:numFmt w:val="decimal"/>
      <w:lvlText w:val="%4."/>
      <w:lvlJc w:val="left"/>
      <w:pPr>
        <w:ind w:left="3339" w:hanging="360"/>
      </w:pPr>
    </w:lvl>
    <w:lvl w:ilvl="4" w:tplc="04150019" w:tentative="1">
      <w:start w:val="1"/>
      <w:numFmt w:val="lowerLetter"/>
      <w:lvlText w:val="%5."/>
      <w:lvlJc w:val="left"/>
      <w:pPr>
        <w:ind w:left="4059" w:hanging="360"/>
      </w:pPr>
    </w:lvl>
    <w:lvl w:ilvl="5" w:tplc="0415001B" w:tentative="1">
      <w:start w:val="1"/>
      <w:numFmt w:val="lowerRoman"/>
      <w:lvlText w:val="%6."/>
      <w:lvlJc w:val="right"/>
      <w:pPr>
        <w:ind w:left="4779" w:hanging="180"/>
      </w:pPr>
    </w:lvl>
    <w:lvl w:ilvl="6" w:tplc="0415000F" w:tentative="1">
      <w:start w:val="1"/>
      <w:numFmt w:val="decimal"/>
      <w:lvlText w:val="%7."/>
      <w:lvlJc w:val="left"/>
      <w:pPr>
        <w:ind w:left="5499" w:hanging="360"/>
      </w:pPr>
    </w:lvl>
    <w:lvl w:ilvl="7" w:tplc="04150019" w:tentative="1">
      <w:start w:val="1"/>
      <w:numFmt w:val="lowerLetter"/>
      <w:lvlText w:val="%8."/>
      <w:lvlJc w:val="left"/>
      <w:pPr>
        <w:ind w:left="6219" w:hanging="360"/>
      </w:pPr>
    </w:lvl>
    <w:lvl w:ilvl="8" w:tplc="0415001B" w:tentative="1">
      <w:start w:val="1"/>
      <w:numFmt w:val="lowerRoman"/>
      <w:lvlText w:val="%9."/>
      <w:lvlJc w:val="right"/>
      <w:pPr>
        <w:ind w:left="6939" w:hanging="180"/>
      </w:pPr>
    </w:lvl>
  </w:abstractNum>
  <w:abstractNum w:abstractNumId="15" w15:restartNumberingAfterBreak="0">
    <w:nsid w:val="2A374389"/>
    <w:multiLevelType w:val="hybridMultilevel"/>
    <w:tmpl w:val="2C8202B8"/>
    <w:lvl w:ilvl="0" w:tplc="04150001">
      <w:start w:val="1"/>
      <w:numFmt w:val="bullet"/>
      <w:lvlText w:val=""/>
      <w:lvlJc w:val="left"/>
      <w:pPr>
        <w:ind w:left="501" w:hanging="360"/>
      </w:pPr>
      <w:rPr>
        <w:rFonts w:ascii="Symbol" w:hAnsi="Symbol" w:hint="default"/>
      </w:rPr>
    </w:lvl>
    <w:lvl w:ilvl="1" w:tplc="04150003" w:tentative="1">
      <w:start w:val="1"/>
      <w:numFmt w:val="bullet"/>
      <w:lvlText w:val="o"/>
      <w:lvlJc w:val="left"/>
      <w:pPr>
        <w:ind w:left="1221" w:hanging="360"/>
      </w:pPr>
      <w:rPr>
        <w:rFonts w:ascii="Courier New" w:hAnsi="Courier New" w:cs="Courier New" w:hint="default"/>
      </w:rPr>
    </w:lvl>
    <w:lvl w:ilvl="2" w:tplc="04150005" w:tentative="1">
      <w:start w:val="1"/>
      <w:numFmt w:val="bullet"/>
      <w:lvlText w:val=""/>
      <w:lvlJc w:val="left"/>
      <w:pPr>
        <w:ind w:left="1941" w:hanging="360"/>
      </w:pPr>
      <w:rPr>
        <w:rFonts w:ascii="Wingdings" w:hAnsi="Wingdings" w:hint="default"/>
      </w:rPr>
    </w:lvl>
    <w:lvl w:ilvl="3" w:tplc="04150001" w:tentative="1">
      <w:start w:val="1"/>
      <w:numFmt w:val="bullet"/>
      <w:lvlText w:val=""/>
      <w:lvlJc w:val="left"/>
      <w:pPr>
        <w:ind w:left="2661" w:hanging="360"/>
      </w:pPr>
      <w:rPr>
        <w:rFonts w:ascii="Symbol" w:hAnsi="Symbol" w:hint="default"/>
      </w:rPr>
    </w:lvl>
    <w:lvl w:ilvl="4" w:tplc="04150003" w:tentative="1">
      <w:start w:val="1"/>
      <w:numFmt w:val="bullet"/>
      <w:lvlText w:val="o"/>
      <w:lvlJc w:val="left"/>
      <w:pPr>
        <w:ind w:left="3381" w:hanging="360"/>
      </w:pPr>
      <w:rPr>
        <w:rFonts w:ascii="Courier New" w:hAnsi="Courier New" w:cs="Courier New" w:hint="default"/>
      </w:rPr>
    </w:lvl>
    <w:lvl w:ilvl="5" w:tplc="04150005" w:tentative="1">
      <w:start w:val="1"/>
      <w:numFmt w:val="bullet"/>
      <w:lvlText w:val=""/>
      <w:lvlJc w:val="left"/>
      <w:pPr>
        <w:ind w:left="4101" w:hanging="360"/>
      </w:pPr>
      <w:rPr>
        <w:rFonts w:ascii="Wingdings" w:hAnsi="Wingdings" w:hint="default"/>
      </w:rPr>
    </w:lvl>
    <w:lvl w:ilvl="6" w:tplc="04150001" w:tentative="1">
      <w:start w:val="1"/>
      <w:numFmt w:val="bullet"/>
      <w:lvlText w:val=""/>
      <w:lvlJc w:val="left"/>
      <w:pPr>
        <w:ind w:left="4821" w:hanging="360"/>
      </w:pPr>
      <w:rPr>
        <w:rFonts w:ascii="Symbol" w:hAnsi="Symbol" w:hint="default"/>
      </w:rPr>
    </w:lvl>
    <w:lvl w:ilvl="7" w:tplc="04150003" w:tentative="1">
      <w:start w:val="1"/>
      <w:numFmt w:val="bullet"/>
      <w:lvlText w:val="o"/>
      <w:lvlJc w:val="left"/>
      <w:pPr>
        <w:ind w:left="5541" w:hanging="360"/>
      </w:pPr>
      <w:rPr>
        <w:rFonts w:ascii="Courier New" w:hAnsi="Courier New" w:cs="Courier New" w:hint="default"/>
      </w:rPr>
    </w:lvl>
    <w:lvl w:ilvl="8" w:tplc="04150005" w:tentative="1">
      <w:start w:val="1"/>
      <w:numFmt w:val="bullet"/>
      <w:lvlText w:val=""/>
      <w:lvlJc w:val="left"/>
      <w:pPr>
        <w:ind w:left="6261" w:hanging="360"/>
      </w:pPr>
      <w:rPr>
        <w:rFonts w:ascii="Wingdings" w:hAnsi="Wingdings" w:hint="default"/>
      </w:rPr>
    </w:lvl>
  </w:abstractNum>
  <w:abstractNum w:abstractNumId="16" w15:restartNumberingAfterBreak="0">
    <w:nsid w:val="2A8A2660"/>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8B62EE"/>
    <w:multiLevelType w:val="hybridMultilevel"/>
    <w:tmpl w:val="87A422B6"/>
    <w:lvl w:ilvl="0" w:tplc="C16E4BD8">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38E91050"/>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15089C"/>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B371F8"/>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A04AB7"/>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146417"/>
    <w:multiLevelType w:val="hybridMultilevel"/>
    <w:tmpl w:val="77266A72"/>
    <w:lvl w:ilvl="0" w:tplc="376CA6A0">
      <w:start w:val="4"/>
      <w:numFmt w:val="decimal"/>
      <w:lvlText w:val="%1."/>
      <w:lvlJc w:val="left"/>
      <w:pPr>
        <w:ind w:left="1515" w:hanging="947"/>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F554902"/>
    <w:multiLevelType w:val="hybridMultilevel"/>
    <w:tmpl w:val="0D2232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1C6283"/>
    <w:multiLevelType w:val="hybridMultilevel"/>
    <w:tmpl w:val="1E78490C"/>
    <w:lvl w:ilvl="0" w:tplc="AD88C6D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5DA4895"/>
    <w:multiLevelType w:val="hybridMultilevel"/>
    <w:tmpl w:val="2A0C62D0"/>
    <w:lvl w:ilvl="0" w:tplc="5082FB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4900D5"/>
    <w:multiLevelType w:val="hybridMultilevel"/>
    <w:tmpl w:val="423421E4"/>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337563"/>
    <w:multiLevelType w:val="hybridMultilevel"/>
    <w:tmpl w:val="2F60DB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B603B33"/>
    <w:multiLevelType w:val="hybridMultilevel"/>
    <w:tmpl w:val="9B9AD7C2"/>
    <w:lvl w:ilvl="0" w:tplc="14DEF3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053198"/>
    <w:multiLevelType w:val="hybridMultilevel"/>
    <w:tmpl w:val="BEF0804A"/>
    <w:lvl w:ilvl="0" w:tplc="0415000F">
      <w:start w:val="1"/>
      <w:numFmt w:val="decimal"/>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30" w15:restartNumberingAfterBreak="0">
    <w:nsid w:val="635A3645"/>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047A27"/>
    <w:multiLevelType w:val="hybridMultilevel"/>
    <w:tmpl w:val="2A0C62D0"/>
    <w:lvl w:ilvl="0" w:tplc="5082FB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F00578"/>
    <w:multiLevelType w:val="hybridMultilevel"/>
    <w:tmpl w:val="001EFBE6"/>
    <w:lvl w:ilvl="0" w:tplc="BECE90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9163056"/>
    <w:multiLevelType w:val="hybridMultilevel"/>
    <w:tmpl w:val="DFE84DFA"/>
    <w:lvl w:ilvl="0" w:tplc="C16E4BD8">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6C2630AB"/>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9F2126"/>
    <w:multiLevelType w:val="hybridMultilevel"/>
    <w:tmpl w:val="DF1AA076"/>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5F2233C"/>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9E51F8"/>
    <w:multiLevelType w:val="hybridMultilevel"/>
    <w:tmpl w:val="DD629C78"/>
    <w:lvl w:ilvl="0" w:tplc="E5220D3C">
      <w:start w:val="1"/>
      <w:numFmt w:val="decimal"/>
      <w:lvlText w:val="%1."/>
      <w:lvlJc w:val="left"/>
      <w:pPr>
        <w:ind w:left="36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6904F2"/>
    <w:multiLevelType w:val="hybridMultilevel"/>
    <w:tmpl w:val="B44A09A0"/>
    <w:lvl w:ilvl="0" w:tplc="0415000F">
      <w:start w:val="1"/>
      <w:numFmt w:val="decimal"/>
      <w:lvlText w:val="%1."/>
      <w:lvlJc w:val="left"/>
      <w:pPr>
        <w:ind w:left="895" w:hanging="360"/>
      </w:p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39" w15:restartNumberingAfterBreak="0">
    <w:nsid w:val="7BB4F6AF"/>
    <w:multiLevelType w:val="hybridMultilevel"/>
    <w:tmpl w:val="3FD8AB16"/>
    <w:lvl w:ilvl="0" w:tplc="E73CAAA8">
      <w:start w:val="1"/>
      <w:numFmt w:val="decimal"/>
      <w:lvlText w:val="%1."/>
      <w:lvlJc w:val="left"/>
      <w:pPr>
        <w:ind w:left="720" w:hanging="360"/>
      </w:pPr>
    </w:lvl>
    <w:lvl w:ilvl="1" w:tplc="7A20A9B8">
      <w:start w:val="1"/>
      <w:numFmt w:val="lowerLetter"/>
      <w:lvlText w:val="%2."/>
      <w:lvlJc w:val="left"/>
      <w:pPr>
        <w:ind w:left="1440" w:hanging="360"/>
      </w:pPr>
    </w:lvl>
    <w:lvl w:ilvl="2" w:tplc="6D420256">
      <w:start w:val="1"/>
      <w:numFmt w:val="lowerRoman"/>
      <w:lvlText w:val="%3."/>
      <w:lvlJc w:val="right"/>
      <w:pPr>
        <w:ind w:left="2160" w:hanging="180"/>
      </w:pPr>
    </w:lvl>
    <w:lvl w:ilvl="3" w:tplc="EF400ACC">
      <w:start w:val="1"/>
      <w:numFmt w:val="decimal"/>
      <w:lvlText w:val="%4."/>
      <w:lvlJc w:val="left"/>
      <w:pPr>
        <w:ind w:left="2880" w:hanging="360"/>
      </w:pPr>
    </w:lvl>
    <w:lvl w:ilvl="4" w:tplc="A0E87004">
      <w:start w:val="1"/>
      <w:numFmt w:val="lowerLetter"/>
      <w:lvlText w:val="%5."/>
      <w:lvlJc w:val="left"/>
      <w:pPr>
        <w:ind w:left="3600" w:hanging="360"/>
      </w:pPr>
    </w:lvl>
    <w:lvl w:ilvl="5" w:tplc="DEECBCD8">
      <w:start w:val="1"/>
      <w:numFmt w:val="lowerRoman"/>
      <w:lvlText w:val="%6."/>
      <w:lvlJc w:val="right"/>
      <w:pPr>
        <w:ind w:left="4320" w:hanging="180"/>
      </w:pPr>
    </w:lvl>
    <w:lvl w:ilvl="6" w:tplc="4F1C446A">
      <w:start w:val="1"/>
      <w:numFmt w:val="decimal"/>
      <w:lvlText w:val="%7."/>
      <w:lvlJc w:val="left"/>
      <w:pPr>
        <w:ind w:left="5040" w:hanging="360"/>
      </w:pPr>
    </w:lvl>
    <w:lvl w:ilvl="7" w:tplc="1F6E312A">
      <w:start w:val="1"/>
      <w:numFmt w:val="lowerLetter"/>
      <w:lvlText w:val="%8."/>
      <w:lvlJc w:val="left"/>
      <w:pPr>
        <w:ind w:left="5760" w:hanging="360"/>
      </w:pPr>
    </w:lvl>
    <w:lvl w:ilvl="8" w:tplc="605892E2">
      <w:start w:val="1"/>
      <w:numFmt w:val="lowerRoman"/>
      <w:lvlText w:val="%9."/>
      <w:lvlJc w:val="right"/>
      <w:pPr>
        <w:ind w:left="6480" w:hanging="180"/>
      </w:pPr>
    </w:lvl>
  </w:abstractNum>
  <w:abstractNum w:abstractNumId="40" w15:restartNumberingAfterBreak="0">
    <w:nsid w:val="7C8849E4"/>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665271"/>
    <w:multiLevelType w:val="hybridMultilevel"/>
    <w:tmpl w:val="0B6CA7C0"/>
    <w:lvl w:ilvl="0" w:tplc="370A08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F0A6B33"/>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2866044">
    <w:abstractNumId w:val="25"/>
  </w:num>
  <w:num w:numId="2" w16cid:durableId="551429353">
    <w:abstractNumId w:val="11"/>
  </w:num>
  <w:num w:numId="3" w16cid:durableId="355271341">
    <w:abstractNumId w:val="15"/>
  </w:num>
  <w:num w:numId="4" w16cid:durableId="1805544733">
    <w:abstractNumId w:val="13"/>
  </w:num>
  <w:num w:numId="5" w16cid:durableId="1739591076">
    <w:abstractNumId w:val="17"/>
  </w:num>
  <w:num w:numId="6" w16cid:durableId="2102942598">
    <w:abstractNumId w:val="31"/>
  </w:num>
  <w:num w:numId="7" w16cid:durableId="1207251966">
    <w:abstractNumId w:val="2"/>
  </w:num>
  <w:num w:numId="8" w16cid:durableId="631138631">
    <w:abstractNumId w:val="3"/>
  </w:num>
  <w:num w:numId="9" w16cid:durableId="1475827300">
    <w:abstractNumId w:val="5"/>
  </w:num>
  <w:num w:numId="10" w16cid:durableId="1077168867">
    <w:abstractNumId w:val="16"/>
  </w:num>
  <w:num w:numId="11" w16cid:durableId="1006246465">
    <w:abstractNumId w:val="30"/>
  </w:num>
  <w:num w:numId="12" w16cid:durableId="757096544">
    <w:abstractNumId w:val="21"/>
  </w:num>
  <w:num w:numId="13" w16cid:durableId="1071273997">
    <w:abstractNumId w:val="9"/>
  </w:num>
  <w:num w:numId="14" w16cid:durableId="1826508954">
    <w:abstractNumId w:val="37"/>
  </w:num>
  <w:num w:numId="15" w16cid:durableId="987392739">
    <w:abstractNumId w:val="6"/>
  </w:num>
  <w:num w:numId="16" w16cid:durableId="502012611">
    <w:abstractNumId w:val="1"/>
  </w:num>
  <w:num w:numId="17" w16cid:durableId="366569229">
    <w:abstractNumId w:val="7"/>
  </w:num>
  <w:num w:numId="18" w16cid:durableId="165286658">
    <w:abstractNumId w:val="8"/>
  </w:num>
  <w:num w:numId="19" w16cid:durableId="808328698">
    <w:abstractNumId w:val="33"/>
  </w:num>
  <w:num w:numId="20" w16cid:durableId="230426970">
    <w:abstractNumId w:val="19"/>
  </w:num>
  <w:num w:numId="21" w16cid:durableId="1759018127">
    <w:abstractNumId w:val="27"/>
  </w:num>
  <w:num w:numId="22" w16cid:durableId="1607040674">
    <w:abstractNumId w:val="36"/>
  </w:num>
  <w:num w:numId="23" w16cid:durableId="1964193810">
    <w:abstractNumId w:val="34"/>
  </w:num>
  <w:num w:numId="24" w16cid:durableId="1668898198">
    <w:abstractNumId w:val="12"/>
  </w:num>
  <w:num w:numId="25" w16cid:durableId="77750470">
    <w:abstractNumId w:val="40"/>
  </w:num>
  <w:num w:numId="26" w16cid:durableId="81920465">
    <w:abstractNumId w:val="10"/>
  </w:num>
  <w:num w:numId="27" w16cid:durableId="415248374">
    <w:abstractNumId w:val="42"/>
  </w:num>
  <w:num w:numId="28" w16cid:durableId="1502113576">
    <w:abstractNumId w:val="18"/>
  </w:num>
  <w:num w:numId="29" w16cid:durableId="484124803">
    <w:abstractNumId w:val="20"/>
  </w:num>
  <w:num w:numId="30" w16cid:durableId="1895696375">
    <w:abstractNumId w:val="39"/>
  </w:num>
  <w:num w:numId="31" w16cid:durableId="1378821787">
    <w:abstractNumId w:val="14"/>
  </w:num>
  <w:num w:numId="32" w16cid:durableId="169756903">
    <w:abstractNumId w:val="26"/>
  </w:num>
  <w:num w:numId="33" w16cid:durableId="267201654">
    <w:abstractNumId w:val="32"/>
  </w:num>
  <w:num w:numId="34" w16cid:durableId="1290235276">
    <w:abstractNumId w:val="23"/>
  </w:num>
  <w:num w:numId="35" w16cid:durableId="36786896">
    <w:abstractNumId w:val="24"/>
  </w:num>
  <w:num w:numId="36" w16cid:durableId="417947221">
    <w:abstractNumId w:val="38"/>
  </w:num>
  <w:num w:numId="37" w16cid:durableId="467555325">
    <w:abstractNumId w:val="4"/>
  </w:num>
  <w:num w:numId="38" w16cid:durableId="395205706">
    <w:abstractNumId w:val="29"/>
  </w:num>
  <w:num w:numId="39" w16cid:durableId="1873375804">
    <w:abstractNumId w:val="22"/>
  </w:num>
  <w:num w:numId="40" w16cid:durableId="314797780">
    <w:abstractNumId w:val="28"/>
  </w:num>
  <w:num w:numId="41" w16cid:durableId="1535998339">
    <w:abstractNumId w:val="0"/>
  </w:num>
  <w:num w:numId="42" w16cid:durableId="1779643897">
    <w:abstractNumId w:val="35"/>
    <w:lvlOverride w:ilvl="0">
      <w:startOverride w:val="1"/>
    </w:lvlOverride>
    <w:lvlOverride w:ilvl="1"/>
    <w:lvlOverride w:ilvl="2"/>
    <w:lvlOverride w:ilvl="3"/>
    <w:lvlOverride w:ilvl="4"/>
    <w:lvlOverride w:ilvl="5"/>
    <w:lvlOverride w:ilvl="6"/>
    <w:lvlOverride w:ilvl="7"/>
    <w:lvlOverride w:ilvl="8"/>
  </w:num>
  <w:num w:numId="43" w16cid:durableId="4980097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621"/>
    <w:rsid w:val="00001E12"/>
    <w:rsid w:val="00002D26"/>
    <w:rsid w:val="00003163"/>
    <w:rsid w:val="00003A16"/>
    <w:rsid w:val="0000674A"/>
    <w:rsid w:val="00006A99"/>
    <w:rsid w:val="0001004E"/>
    <w:rsid w:val="00010EEF"/>
    <w:rsid w:val="00012DB7"/>
    <w:rsid w:val="000133D7"/>
    <w:rsid w:val="00015EC6"/>
    <w:rsid w:val="00017DE1"/>
    <w:rsid w:val="00022220"/>
    <w:rsid w:val="0002356F"/>
    <w:rsid w:val="0002420B"/>
    <w:rsid w:val="000252B8"/>
    <w:rsid w:val="000305AA"/>
    <w:rsid w:val="000327B4"/>
    <w:rsid w:val="000338EE"/>
    <w:rsid w:val="000348ED"/>
    <w:rsid w:val="00034C0D"/>
    <w:rsid w:val="00035C17"/>
    <w:rsid w:val="00036830"/>
    <w:rsid w:val="00036B61"/>
    <w:rsid w:val="00040DFE"/>
    <w:rsid w:val="000419E2"/>
    <w:rsid w:val="00042F3A"/>
    <w:rsid w:val="000455E0"/>
    <w:rsid w:val="000505A7"/>
    <w:rsid w:val="00053A7D"/>
    <w:rsid w:val="00055EE7"/>
    <w:rsid w:val="00056886"/>
    <w:rsid w:val="00061708"/>
    <w:rsid w:val="00063607"/>
    <w:rsid w:val="000637DD"/>
    <w:rsid w:val="0006395F"/>
    <w:rsid w:val="00064BCC"/>
    <w:rsid w:val="00067170"/>
    <w:rsid w:val="00070F0F"/>
    <w:rsid w:val="00071A75"/>
    <w:rsid w:val="00072063"/>
    <w:rsid w:val="00072D91"/>
    <w:rsid w:val="000735AC"/>
    <w:rsid w:val="000751CE"/>
    <w:rsid w:val="000757A9"/>
    <w:rsid w:val="00083607"/>
    <w:rsid w:val="00083D75"/>
    <w:rsid w:val="00084190"/>
    <w:rsid w:val="000871B9"/>
    <w:rsid w:val="00087809"/>
    <w:rsid w:val="00091AF0"/>
    <w:rsid w:val="000931E9"/>
    <w:rsid w:val="0009398B"/>
    <w:rsid w:val="00094411"/>
    <w:rsid w:val="0009520F"/>
    <w:rsid w:val="00095782"/>
    <w:rsid w:val="00095B63"/>
    <w:rsid w:val="000A0237"/>
    <w:rsid w:val="000A090F"/>
    <w:rsid w:val="000A1393"/>
    <w:rsid w:val="000A4032"/>
    <w:rsid w:val="000A4089"/>
    <w:rsid w:val="000A4100"/>
    <w:rsid w:val="000A4616"/>
    <w:rsid w:val="000A529C"/>
    <w:rsid w:val="000A6A14"/>
    <w:rsid w:val="000A75E9"/>
    <w:rsid w:val="000B2AC5"/>
    <w:rsid w:val="000B31A9"/>
    <w:rsid w:val="000B47EB"/>
    <w:rsid w:val="000B5FE8"/>
    <w:rsid w:val="000B61B6"/>
    <w:rsid w:val="000C3414"/>
    <w:rsid w:val="000C5CA6"/>
    <w:rsid w:val="000C6AA3"/>
    <w:rsid w:val="000D0C1B"/>
    <w:rsid w:val="000D3B84"/>
    <w:rsid w:val="000E1172"/>
    <w:rsid w:val="000E1828"/>
    <w:rsid w:val="000E436C"/>
    <w:rsid w:val="000E5525"/>
    <w:rsid w:val="000E7FBF"/>
    <w:rsid w:val="000F36FA"/>
    <w:rsid w:val="000F4FD3"/>
    <w:rsid w:val="000F5C3F"/>
    <w:rsid w:val="00100FFF"/>
    <w:rsid w:val="001012DE"/>
    <w:rsid w:val="001028AA"/>
    <w:rsid w:val="00102FB7"/>
    <w:rsid w:val="00104B97"/>
    <w:rsid w:val="00110626"/>
    <w:rsid w:val="00111269"/>
    <w:rsid w:val="001133C2"/>
    <w:rsid w:val="001143FB"/>
    <w:rsid w:val="00115072"/>
    <w:rsid w:val="0011616D"/>
    <w:rsid w:val="001203DA"/>
    <w:rsid w:val="0012109B"/>
    <w:rsid w:val="00125111"/>
    <w:rsid w:val="00125597"/>
    <w:rsid w:val="001307BB"/>
    <w:rsid w:val="00131B88"/>
    <w:rsid w:val="001330A8"/>
    <w:rsid w:val="00136D60"/>
    <w:rsid w:val="001460B1"/>
    <w:rsid w:val="00150E88"/>
    <w:rsid w:val="0015121D"/>
    <w:rsid w:val="00160878"/>
    <w:rsid w:val="00163090"/>
    <w:rsid w:val="00163314"/>
    <w:rsid w:val="0016581B"/>
    <w:rsid w:val="0016584B"/>
    <w:rsid w:val="0016610E"/>
    <w:rsid w:val="00176A29"/>
    <w:rsid w:val="00177222"/>
    <w:rsid w:val="00180987"/>
    <w:rsid w:val="00180A81"/>
    <w:rsid w:val="001811AE"/>
    <w:rsid w:val="001843BF"/>
    <w:rsid w:val="00185BAA"/>
    <w:rsid w:val="00186FCC"/>
    <w:rsid w:val="001901EB"/>
    <w:rsid w:val="00191A19"/>
    <w:rsid w:val="001930AE"/>
    <w:rsid w:val="00193769"/>
    <w:rsid w:val="001958E9"/>
    <w:rsid w:val="00196A28"/>
    <w:rsid w:val="00196F2C"/>
    <w:rsid w:val="001A1EA0"/>
    <w:rsid w:val="001A32D2"/>
    <w:rsid w:val="001A3780"/>
    <w:rsid w:val="001A67E0"/>
    <w:rsid w:val="001A72B1"/>
    <w:rsid w:val="001B21EE"/>
    <w:rsid w:val="001B2650"/>
    <w:rsid w:val="001B2C86"/>
    <w:rsid w:val="001C134E"/>
    <w:rsid w:val="001C196A"/>
    <w:rsid w:val="001C4092"/>
    <w:rsid w:val="001C55A8"/>
    <w:rsid w:val="001C5E23"/>
    <w:rsid w:val="001D103E"/>
    <w:rsid w:val="001D2DFD"/>
    <w:rsid w:val="001D330B"/>
    <w:rsid w:val="001D353F"/>
    <w:rsid w:val="001D3621"/>
    <w:rsid w:val="001D6B33"/>
    <w:rsid w:val="001D7CC3"/>
    <w:rsid w:val="001E30CE"/>
    <w:rsid w:val="001E344B"/>
    <w:rsid w:val="001E3836"/>
    <w:rsid w:val="001F1D54"/>
    <w:rsid w:val="00203F42"/>
    <w:rsid w:val="002077C7"/>
    <w:rsid w:val="00210D3C"/>
    <w:rsid w:val="00211AC9"/>
    <w:rsid w:val="00220524"/>
    <w:rsid w:val="002218B6"/>
    <w:rsid w:val="00222682"/>
    <w:rsid w:val="002233DD"/>
    <w:rsid w:val="002240BB"/>
    <w:rsid w:val="002244FF"/>
    <w:rsid w:val="00226060"/>
    <w:rsid w:val="002266E6"/>
    <w:rsid w:val="002271F7"/>
    <w:rsid w:val="00233B51"/>
    <w:rsid w:val="00233FAE"/>
    <w:rsid w:val="0023430F"/>
    <w:rsid w:val="0024279D"/>
    <w:rsid w:val="0024463C"/>
    <w:rsid w:val="00246DCF"/>
    <w:rsid w:val="0025077B"/>
    <w:rsid w:val="0025473F"/>
    <w:rsid w:val="00254FF1"/>
    <w:rsid w:val="0025646D"/>
    <w:rsid w:val="00256682"/>
    <w:rsid w:val="00261722"/>
    <w:rsid w:val="0026206F"/>
    <w:rsid w:val="00263444"/>
    <w:rsid w:val="00264831"/>
    <w:rsid w:val="002672D2"/>
    <w:rsid w:val="00272BC9"/>
    <w:rsid w:val="00273AB4"/>
    <w:rsid w:val="002821A1"/>
    <w:rsid w:val="00283239"/>
    <w:rsid w:val="00283CF1"/>
    <w:rsid w:val="0028496B"/>
    <w:rsid w:val="00287512"/>
    <w:rsid w:val="00291047"/>
    <w:rsid w:val="002911AD"/>
    <w:rsid w:val="00292CCE"/>
    <w:rsid w:val="002948C3"/>
    <w:rsid w:val="002979FE"/>
    <w:rsid w:val="002A099C"/>
    <w:rsid w:val="002A1E4C"/>
    <w:rsid w:val="002A3184"/>
    <w:rsid w:val="002A3416"/>
    <w:rsid w:val="002A3A9C"/>
    <w:rsid w:val="002A3B5B"/>
    <w:rsid w:val="002A3FC9"/>
    <w:rsid w:val="002A4384"/>
    <w:rsid w:val="002A57CB"/>
    <w:rsid w:val="002A5E59"/>
    <w:rsid w:val="002B0551"/>
    <w:rsid w:val="002B08C1"/>
    <w:rsid w:val="002B17E2"/>
    <w:rsid w:val="002B294F"/>
    <w:rsid w:val="002B2FB2"/>
    <w:rsid w:val="002B32D6"/>
    <w:rsid w:val="002B4B5A"/>
    <w:rsid w:val="002B5A33"/>
    <w:rsid w:val="002B5BE2"/>
    <w:rsid w:val="002B5D3A"/>
    <w:rsid w:val="002C1ECA"/>
    <w:rsid w:val="002C63EB"/>
    <w:rsid w:val="002C6968"/>
    <w:rsid w:val="002C69A3"/>
    <w:rsid w:val="002C78D8"/>
    <w:rsid w:val="002D0F43"/>
    <w:rsid w:val="002D1FFD"/>
    <w:rsid w:val="002D4B7F"/>
    <w:rsid w:val="002D6BC5"/>
    <w:rsid w:val="002E26E8"/>
    <w:rsid w:val="002E286D"/>
    <w:rsid w:val="002E5267"/>
    <w:rsid w:val="002E69C0"/>
    <w:rsid w:val="002F2F00"/>
    <w:rsid w:val="00300890"/>
    <w:rsid w:val="003023A9"/>
    <w:rsid w:val="003064CE"/>
    <w:rsid w:val="00306C54"/>
    <w:rsid w:val="00312897"/>
    <w:rsid w:val="00313D3B"/>
    <w:rsid w:val="00314703"/>
    <w:rsid w:val="00316A82"/>
    <w:rsid w:val="003178FB"/>
    <w:rsid w:val="00317964"/>
    <w:rsid w:val="0032277D"/>
    <w:rsid w:val="003253A8"/>
    <w:rsid w:val="00326841"/>
    <w:rsid w:val="00327856"/>
    <w:rsid w:val="00332958"/>
    <w:rsid w:val="00334CEF"/>
    <w:rsid w:val="00334F83"/>
    <w:rsid w:val="003350A1"/>
    <w:rsid w:val="0033677D"/>
    <w:rsid w:val="00340398"/>
    <w:rsid w:val="00341073"/>
    <w:rsid w:val="00342FAA"/>
    <w:rsid w:val="00343A48"/>
    <w:rsid w:val="00343FA6"/>
    <w:rsid w:val="003471D6"/>
    <w:rsid w:val="0034744E"/>
    <w:rsid w:val="00352B56"/>
    <w:rsid w:val="00356414"/>
    <w:rsid w:val="00356922"/>
    <w:rsid w:val="00356D8C"/>
    <w:rsid w:val="00357877"/>
    <w:rsid w:val="003607B3"/>
    <w:rsid w:val="003626EF"/>
    <w:rsid w:val="00365D3B"/>
    <w:rsid w:val="003660CD"/>
    <w:rsid w:val="0036612F"/>
    <w:rsid w:val="003701C9"/>
    <w:rsid w:val="00370627"/>
    <w:rsid w:val="00372AC0"/>
    <w:rsid w:val="003744E5"/>
    <w:rsid w:val="0037457E"/>
    <w:rsid w:val="003751FD"/>
    <w:rsid w:val="00375E59"/>
    <w:rsid w:val="00376257"/>
    <w:rsid w:val="00382AEC"/>
    <w:rsid w:val="003839AE"/>
    <w:rsid w:val="003841BA"/>
    <w:rsid w:val="003859BE"/>
    <w:rsid w:val="00393132"/>
    <w:rsid w:val="003976DA"/>
    <w:rsid w:val="003A1C82"/>
    <w:rsid w:val="003A264E"/>
    <w:rsid w:val="003A3201"/>
    <w:rsid w:val="003A3B99"/>
    <w:rsid w:val="003A545F"/>
    <w:rsid w:val="003A56B7"/>
    <w:rsid w:val="003A5E23"/>
    <w:rsid w:val="003A69AB"/>
    <w:rsid w:val="003A6C9B"/>
    <w:rsid w:val="003B26CD"/>
    <w:rsid w:val="003B2744"/>
    <w:rsid w:val="003B2E21"/>
    <w:rsid w:val="003B2FB0"/>
    <w:rsid w:val="003B4296"/>
    <w:rsid w:val="003B6B53"/>
    <w:rsid w:val="003B7E2A"/>
    <w:rsid w:val="003C02CA"/>
    <w:rsid w:val="003C27B4"/>
    <w:rsid w:val="003C4BBB"/>
    <w:rsid w:val="003C5F3D"/>
    <w:rsid w:val="003C6E68"/>
    <w:rsid w:val="003D02A0"/>
    <w:rsid w:val="003D06D9"/>
    <w:rsid w:val="003D14F8"/>
    <w:rsid w:val="003D1E49"/>
    <w:rsid w:val="003D1FF7"/>
    <w:rsid w:val="003D2D2E"/>
    <w:rsid w:val="003D4DB5"/>
    <w:rsid w:val="003D7DE2"/>
    <w:rsid w:val="003E0589"/>
    <w:rsid w:val="003E1C8D"/>
    <w:rsid w:val="003E274D"/>
    <w:rsid w:val="003E2E4B"/>
    <w:rsid w:val="003E5A0C"/>
    <w:rsid w:val="00407392"/>
    <w:rsid w:val="00407FEF"/>
    <w:rsid w:val="004100BB"/>
    <w:rsid w:val="00411A37"/>
    <w:rsid w:val="00413B51"/>
    <w:rsid w:val="00414794"/>
    <w:rsid w:val="004154B9"/>
    <w:rsid w:val="0042514A"/>
    <w:rsid w:val="00425283"/>
    <w:rsid w:val="004253A5"/>
    <w:rsid w:val="004269F6"/>
    <w:rsid w:val="00427357"/>
    <w:rsid w:val="0042768F"/>
    <w:rsid w:val="00427710"/>
    <w:rsid w:val="00427BFF"/>
    <w:rsid w:val="00430732"/>
    <w:rsid w:val="0043127B"/>
    <w:rsid w:val="00432647"/>
    <w:rsid w:val="00434BAA"/>
    <w:rsid w:val="0043538A"/>
    <w:rsid w:val="004356FB"/>
    <w:rsid w:val="00442FE8"/>
    <w:rsid w:val="00443BDF"/>
    <w:rsid w:val="00444D52"/>
    <w:rsid w:val="00446A84"/>
    <w:rsid w:val="00451FB1"/>
    <w:rsid w:val="004521F4"/>
    <w:rsid w:val="004528CF"/>
    <w:rsid w:val="00453084"/>
    <w:rsid w:val="00453364"/>
    <w:rsid w:val="00453E57"/>
    <w:rsid w:val="00453F91"/>
    <w:rsid w:val="00454139"/>
    <w:rsid w:val="004569A1"/>
    <w:rsid w:val="004614B9"/>
    <w:rsid w:val="0046280F"/>
    <w:rsid w:val="0046432F"/>
    <w:rsid w:val="00465F90"/>
    <w:rsid w:val="0046649E"/>
    <w:rsid w:val="00466966"/>
    <w:rsid w:val="004672CD"/>
    <w:rsid w:val="00470F68"/>
    <w:rsid w:val="00472595"/>
    <w:rsid w:val="00482FB2"/>
    <w:rsid w:val="00483593"/>
    <w:rsid w:val="00483F5C"/>
    <w:rsid w:val="0048600E"/>
    <w:rsid w:val="00490085"/>
    <w:rsid w:val="004910A7"/>
    <w:rsid w:val="004910B1"/>
    <w:rsid w:val="00495097"/>
    <w:rsid w:val="004A16FE"/>
    <w:rsid w:val="004A354D"/>
    <w:rsid w:val="004A4C98"/>
    <w:rsid w:val="004A5CA8"/>
    <w:rsid w:val="004A6BDC"/>
    <w:rsid w:val="004A6D13"/>
    <w:rsid w:val="004B52B6"/>
    <w:rsid w:val="004B69CE"/>
    <w:rsid w:val="004B7D83"/>
    <w:rsid w:val="004C2768"/>
    <w:rsid w:val="004C3420"/>
    <w:rsid w:val="004C666D"/>
    <w:rsid w:val="004C6B7E"/>
    <w:rsid w:val="004D39D2"/>
    <w:rsid w:val="004D4C8D"/>
    <w:rsid w:val="004D6FDC"/>
    <w:rsid w:val="004E17B4"/>
    <w:rsid w:val="004E3ACC"/>
    <w:rsid w:val="004E7A11"/>
    <w:rsid w:val="004F3C77"/>
    <w:rsid w:val="004F6BEF"/>
    <w:rsid w:val="005001E8"/>
    <w:rsid w:val="005006BA"/>
    <w:rsid w:val="00501A93"/>
    <w:rsid w:val="00501C83"/>
    <w:rsid w:val="005024F9"/>
    <w:rsid w:val="00503723"/>
    <w:rsid w:val="005077F3"/>
    <w:rsid w:val="005102CC"/>
    <w:rsid w:val="00510D4C"/>
    <w:rsid w:val="005129C5"/>
    <w:rsid w:val="005141C2"/>
    <w:rsid w:val="005156EF"/>
    <w:rsid w:val="005174D8"/>
    <w:rsid w:val="0052639C"/>
    <w:rsid w:val="00526808"/>
    <w:rsid w:val="005277DD"/>
    <w:rsid w:val="0053473D"/>
    <w:rsid w:val="00537297"/>
    <w:rsid w:val="005402FE"/>
    <w:rsid w:val="00543A97"/>
    <w:rsid w:val="00544C11"/>
    <w:rsid w:val="005451E8"/>
    <w:rsid w:val="00564E27"/>
    <w:rsid w:val="0056602B"/>
    <w:rsid w:val="00567072"/>
    <w:rsid w:val="00570604"/>
    <w:rsid w:val="00571A1F"/>
    <w:rsid w:val="00573A93"/>
    <w:rsid w:val="00575F75"/>
    <w:rsid w:val="0058168D"/>
    <w:rsid w:val="005817EF"/>
    <w:rsid w:val="0058726C"/>
    <w:rsid w:val="00587F10"/>
    <w:rsid w:val="005915F1"/>
    <w:rsid w:val="005951A2"/>
    <w:rsid w:val="00596A58"/>
    <w:rsid w:val="00596D42"/>
    <w:rsid w:val="00597E11"/>
    <w:rsid w:val="005A14AC"/>
    <w:rsid w:val="005A4085"/>
    <w:rsid w:val="005A68AE"/>
    <w:rsid w:val="005A7CB1"/>
    <w:rsid w:val="005B2FEA"/>
    <w:rsid w:val="005B4431"/>
    <w:rsid w:val="005B504A"/>
    <w:rsid w:val="005C01D2"/>
    <w:rsid w:val="005C028D"/>
    <w:rsid w:val="005C50B9"/>
    <w:rsid w:val="005D3E69"/>
    <w:rsid w:val="005D5F43"/>
    <w:rsid w:val="005E0043"/>
    <w:rsid w:val="005E3B62"/>
    <w:rsid w:val="005E4353"/>
    <w:rsid w:val="005E54E5"/>
    <w:rsid w:val="005F1689"/>
    <w:rsid w:val="005F2676"/>
    <w:rsid w:val="005F38DE"/>
    <w:rsid w:val="005F65A4"/>
    <w:rsid w:val="005F7A29"/>
    <w:rsid w:val="005F7C33"/>
    <w:rsid w:val="00601B5A"/>
    <w:rsid w:val="00602EF3"/>
    <w:rsid w:val="006041FA"/>
    <w:rsid w:val="006053E7"/>
    <w:rsid w:val="006074ED"/>
    <w:rsid w:val="00610768"/>
    <w:rsid w:val="00611B31"/>
    <w:rsid w:val="00612908"/>
    <w:rsid w:val="00613B97"/>
    <w:rsid w:val="00614987"/>
    <w:rsid w:val="00615A30"/>
    <w:rsid w:val="00616630"/>
    <w:rsid w:val="0062141A"/>
    <w:rsid w:val="00622249"/>
    <w:rsid w:val="006227F5"/>
    <w:rsid w:val="006234B7"/>
    <w:rsid w:val="00623DB1"/>
    <w:rsid w:val="00624C31"/>
    <w:rsid w:val="006257BD"/>
    <w:rsid w:val="006276A3"/>
    <w:rsid w:val="00630C04"/>
    <w:rsid w:val="006322FA"/>
    <w:rsid w:val="006336B6"/>
    <w:rsid w:val="00634313"/>
    <w:rsid w:val="00637635"/>
    <w:rsid w:val="006430D2"/>
    <w:rsid w:val="00647BC4"/>
    <w:rsid w:val="00653254"/>
    <w:rsid w:val="00654389"/>
    <w:rsid w:val="006545EC"/>
    <w:rsid w:val="0065570B"/>
    <w:rsid w:val="006559F9"/>
    <w:rsid w:val="0065665B"/>
    <w:rsid w:val="006613F3"/>
    <w:rsid w:val="00661E45"/>
    <w:rsid w:val="006626EB"/>
    <w:rsid w:val="00663223"/>
    <w:rsid w:val="006640B4"/>
    <w:rsid w:val="0066521C"/>
    <w:rsid w:val="00666DC8"/>
    <w:rsid w:val="006674CF"/>
    <w:rsid w:val="00672CF7"/>
    <w:rsid w:val="00680775"/>
    <w:rsid w:val="0068092F"/>
    <w:rsid w:val="00695E9D"/>
    <w:rsid w:val="00697B05"/>
    <w:rsid w:val="006A2401"/>
    <w:rsid w:val="006A43A9"/>
    <w:rsid w:val="006A460D"/>
    <w:rsid w:val="006A5284"/>
    <w:rsid w:val="006A579D"/>
    <w:rsid w:val="006B6022"/>
    <w:rsid w:val="006B7DBF"/>
    <w:rsid w:val="006C36F9"/>
    <w:rsid w:val="006C41D8"/>
    <w:rsid w:val="006C77D9"/>
    <w:rsid w:val="006D2540"/>
    <w:rsid w:val="006D2E34"/>
    <w:rsid w:val="006D356F"/>
    <w:rsid w:val="006D5DE7"/>
    <w:rsid w:val="006D63E7"/>
    <w:rsid w:val="006D7A86"/>
    <w:rsid w:val="006E194D"/>
    <w:rsid w:val="006E221B"/>
    <w:rsid w:val="006E2806"/>
    <w:rsid w:val="006E54A6"/>
    <w:rsid w:val="006E5DC7"/>
    <w:rsid w:val="006F18CC"/>
    <w:rsid w:val="006F1C8E"/>
    <w:rsid w:val="006F4876"/>
    <w:rsid w:val="006F5F19"/>
    <w:rsid w:val="006F6464"/>
    <w:rsid w:val="006F6CF9"/>
    <w:rsid w:val="006F70FD"/>
    <w:rsid w:val="00700CC0"/>
    <w:rsid w:val="0070236E"/>
    <w:rsid w:val="007117DE"/>
    <w:rsid w:val="00715901"/>
    <w:rsid w:val="00716992"/>
    <w:rsid w:val="007201CA"/>
    <w:rsid w:val="00720906"/>
    <w:rsid w:val="00720BEC"/>
    <w:rsid w:val="007233C7"/>
    <w:rsid w:val="00723F91"/>
    <w:rsid w:val="007335DB"/>
    <w:rsid w:val="00735EAE"/>
    <w:rsid w:val="0074049A"/>
    <w:rsid w:val="00740C1F"/>
    <w:rsid w:val="00742451"/>
    <w:rsid w:val="00742D49"/>
    <w:rsid w:val="00743EB7"/>
    <w:rsid w:val="00746183"/>
    <w:rsid w:val="00747B15"/>
    <w:rsid w:val="007501D8"/>
    <w:rsid w:val="00750384"/>
    <w:rsid w:val="00752E65"/>
    <w:rsid w:val="007547F5"/>
    <w:rsid w:val="00757A2D"/>
    <w:rsid w:val="00760B0C"/>
    <w:rsid w:val="00761D7C"/>
    <w:rsid w:val="00762BB5"/>
    <w:rsid w:val="007660C0"/>
    <w:rsid w:val="00774FA1"/>
    <w:rsid w:val="007754AA"/>
    <w:rsid w:val="00775B56"/>
    <w:rsid w:val="00780302"/>
    <w:rsid w:val="007815E2"/>
    <w:rsid w:val="007832FF"/>
    <w:rsid w:val="00783A8E"/>
    <w:rsid w:val="007841BA"/>
    <w:rsid w:val="00790A97"/>
    <w:rsid w:val="0079394C"/>
    <w:rsid w:val="00797EC5"/>
    <w:rsid w:val="007A27F7"/>
    <w:rsid w:val="007A69E4"/>
    <w:rsid w:val="007B0796"/>
    <w:rsid w:val="007B07D5"/>
    <w:rsid w:val="007B3E77"/>
    <w:rsid w:val="007B5568"/>
    <w:rsid w:val="007B76FF"/>
    <w:rsid w:val="007C10A6"/>
    <w:rsid w:val="007C2E25"/>
    <w:rsid w:val="007C41F6"/>
    <w:rsid w:val="007C74A6"/>
    <w:rsid w:val="007D00DC"/>
    <w:rsid w:val="007D24B0"/>
    <w:rsid w:val="007D3323"/>
    <w:rsid w:val="007D3E62"/>
    <w:rsid w:val="007D46E8"/>
    <w:rsid w:val="007D4C96"/>
    <w:rsid w:val="007D7F49"/>
    <w:rsid w:val="007E034D"/>
    <w:rsid w:val="007E114B"/>
    <w:rsid w:val="007E1DB5"/>
    <w:rsid w:val="007F0A9C"/>
    <w:rsid w:val="007F32A3"/>
    <w:rsid w:val="007F595A"/>
    <w:rsid w:val="007F6DFA"/>
    <w:rsid w:val="007F7686"/>
    <w:rsid w:val="008001AD"/>
    <w:rsid w:val="0080142A"/>
    <w:rsid w:val="00801A0E"/>
    <w:rsid w:val="008020AE"/>
    <w:rsid w:val="00803AA7"/>
    <w:rsid w:val="00806531"/>
    <w:rsid w:val="0080676C"/>
    <w:rsid w:val="008112BC"/>
    <w:rsid w:val="00811CFE"/>
    <w:rsid w:val="00813033"/>
    <w:rsid w:val="00813635"/>
    <w:rsid w:val="00813ACE"/>
    <w:rsid w:val="00814C11"/>
    <w:rsid w:val="008172D4"/>
    <w:rsid w:val="00817964"/>
    <w:rsid w:val="00820327"/>
    <w:rsid w:val="00825959"/>
    <w:rsid w:val="00827157"/>
    <w:rsid w:val="008277E7"/>
    <w:rsid w:val="008279EC"/>
    <w:rsid w:val="008313CB"/>
    <w:rsid w:val="00831DA4"/>
    <w:rsid w:val="0083368F"/>
    <w:rsid w:val="00833C84"/>
    <w:rsid w:val="0083699C"/>
    <w:rsid w:val="00840F98"/>
    <w:rsid w:val="008417F9"/>
    <w:rsid w:val="008428E9"/>
    <w:rsid w:val="00844061"/>
    <w:rsid w:val="00846996"/>
    <w:rsid w:val="008561B7"/>
    <w:rsid w:val="00856568"/>
    <w:rsid w:val="008569E8"/>
    <w:rsid w:val="00857ECE"/>
    <w:rsid w:val="00861532"/>
    <w:rsid w:val="00861566"/>
    <w:rsid w:val="00861990"/>
    <w:rsid w:val="00862EA9"/>
    <w:rsid w:val="00864E42"/>
    <w:rsid w:val="00867909"/>
    <w:rsid w:val="008706CE"/>
    <w:rsid w:val="00871E72"/>
    <w:rsid w:val="008720BC"/>
    <w:rsid w:val="008733AB"/>
    <w:rsid w:val="00874A07"/>
    <w:rsid w:val="00874D3D"/>
    <w:rsid w:val="00874EED"/>
    <w:rsid w:val="00881689"/>
    <w:rsid w:val="008823AA"/>
    <w:rsid w:val="00883127"/>
    <w:rsid w:val="00884976"/>
    <w:rsid w:val="008855DB"/>
    <w:rsid w:val="00886496"/>
    <w:rsid w:val="00886B5E"/>
    <w:rsid w:val="0089055E"/>
    <w:rsid w:val="00891651"/>
    <w:rsid w:val="00893AFA"/>
    <w:rsid w:val="008974BB"/>
    <w:rsid w:val="008A02D7"/>
    <w:rsid w:val="008A3625"/>
    <w:rsid w:val="008C315C"/>
    <w:rsid w:val="008C4EE2"/>
    <w:rsid w:val="008C5724"/>
    <w:rsid w:val="008C59D7"/>
    <w:rsid w:val="008C63FE"/>
    <w:rsid w:val="008C6877"/>
    <w:rsid w:val="008C77BE"/>
    <w:rsid w:val="008D3403"/>
    <w:rsid w:val="008D3E47"/>
    <w:rsid w:val="008D7A9E"/>
    <w:rsid w:val="008E039C"/>
    <w:rsid w:val="008E1221"/>
    <w:rsid w:val="008E6BDD"/>
    <w:rsid w:val="008E6C41"/>
    <w:rsid w:val="008E70A7"/>
    <w:rsid w:val="008E76A3"/>
    <w:rsid w:val="008E7F76"/>
    <w:rsid w:val="008E7FFA"/>
    <w:rsid w:val="008F044A"/>
    <w:rsid w:val="008F0F56"/>
    <w:rsid w:val="008F18BC"/>
    <w:rsid w:val="008F2FEE"/>
    <w:rsid w:val="008F3B44"/>
    <w:rsid w:val="008F6E8C"/>
    <w:rsid w:val="008F7815"/>
    <w:rsid w:val="00902971"/>
    <w:rsid w:val="009036F8"/>
    <w:rsid w:val="009057A4"/>
    <w:rsid w:val="00905AC7"/>
    <w:rsid w:val="009119D4"/>
    <w:rsid w:val="00911FAD"/>
    <w:rsid w:val="00913370"/>
    <w:rsid w:val="00913791"/>
    <w:rsid w:val="00915C0B"/>
    <w:rsid w:val="0091619C"/>
    <w:rsid w:val="00916534"/>
    <w:rsid w:val="0091660E"/>
    <w:rsid w:val="00921408"/>
    <w:rsid w:val="00923DC2"/>
    <w:rsid w:val="0092434A"/>
    <w:rsid w:val="009246BE"/>
    <w:rsid w:val="0092671D"/>
    <w:rsid w:val="00930C72"/>
    <w:rsid w:val="00933247"/>
    <w:rsid w:val="00934E1F"/>
    <w:rsid w:val="00943860"/>
    <w:rsid w:val="00944557"/>
    <w:rsid w:val="009458D9"/>
    <w:rsid w:val="0094668B"/>
    <w:rsid w:val="00946AA3"/>
    <w:rsid w:val="00953A2D"/>
    <w:rsid w:val="00957E5D"/>
    <w:rsid w:val="00962C2F"/>
    <w:rsid w:val="0096700F"/>
    <w:rsid w:val="00970072"/>
    <w:rsid w:val="009727A7"/>
    <w:rsid w:val="00974060"/>
    <w:rsid w:val="00975F71"/>
    <w:rsid w:val="0098195D"/>
    <w:rsid w:val="009839E5"/>
    <w:rsid w:val="00985A9A"/>
    <w:rsid w:val="00986BD1"/>
    <w:rsid w:val="00991562"/>
    <w:rsid w:val="00992F45"/>
    <w:rsid w:val="00993E65"/>
    <w:rsid w:val="0099519F"/>
    <w:rsid w:val="0099559C"/>
    <w:rsid w:val="00996AE2"/>
    <w:rsid w:val="00997070"/>
    <w:rsid w:val="00997A34"/>
    <w:rsid w:val="009A0F5B"/>
    <w:rsid w:val="009A1C80"/>
    <w:rsid w:val="009A7749"/>
    <w:rsid w:val="009B1AF2"/>
    <w:rsid w:val="009B1C1D"/>
    <w:rsid w:val="009B2B59"/>
    <w:rsid w:val="009B3AAA"/>
    <w:rsid w:val="009B4814"/>
    <w:rsid w:val="009B5198"/>
    <w:rsid w:val="009B5372"/>
    <w:rsid w:val="009B6505"/>
    <w:rsid w:val="009B6C76"/>
    <w:rsid w:val="009C0FB0"/>
    <w:rsid w:val="009C4F1B"/>
    <w:rsid w:val="009C6492"/>
    <w:rsid w:val="009C7B85"/>
    <w:rsid w:val="009D26E9"/>
    <w:rsid w:val="009D29FB"/>
    <w:rsid w:val="009D351C"/>
    <w:rsid w:val="009D6827"/>
    <w:rsid w:val="009D6887"/>
    <w:rsid w:val="009D760C"/>
    <w:rsid w:val="009E1752"/>
    <w:rsid w:val="009E2A57"/>
    <w:rsid w:val="009E3594"/>
    <w:rsid w:val="009E369A"/>
    <w:rsid w:val="009E3C4A"/>
    <w:rsid w:val="009E54FA"/>
    <w:rsid w:val="009E7F23"/>
    <w:rsid w:val="009F297D"/>
    <w:rsid w:val="009F441F"/>
    <w:rsid w:val="009F45AF"/>
    <w:rsid w:val="00A00222"/>
    <w:rsid w:val="00A041BC"/>
    <w:rsid w:val="00A0678F"/>
    <w:rsid w:val="00A07FC9"/>
    <w:rsid w:val="00A106B5"/>
    <w:rsid w:val="00A11280"/>
    <w:rsid w:val="00A12330"/>
    <w:rsid w:val="00A12854"/>
    <w:rsid w:val="00A13FD0"/>
    <w:rsid w:val="00A15978"/>
    <w:rsid w:val="00A16E3B"/>
    <w:rsid w:val="00A205B4"/>
    <w:rsid w:val="00A229B6"/>
    <w:rsid w:val="00A23168"/>
    <w:rsid w:val="00A23361"/>
    <w:rsid w:val="00A2566E"/>
    <w:rsid w:val="00A26F6A"/>
    <w:rsid w:val="00A37E09"/>
    <w:rsid w:val="00A406FE"/>
    <w:rsid w:val="00A40CFE"/>
    <w:rsid w:val="00A4517A"/>
    <w:rsid w:val="00A4593B"/>
    <w:rsid w:val="00A46671"/>
    <w:rsid w:val="00A517C1"/>
    <w:rsid w:val="00A53B24"/>
    <w:rsid w:val="00A55E0F"/>
    <w:rsid w:val="00A55E30"/>
    <w:rsid w:val="00A56DCC"/>
    <w:rsid w:val="00A56E0B"/>
    <w:rsid w:val="00A56F8D"/>
    <w:rsid w:val="00A6111E"/>
    <w:rsid w:val="00A637E3"/>
    <w:rsid w:val="00A64913"/>
    <w:rsid w:val="00A66607"/>
    <w:rsid w:val="00A66EF2"/>
    <w:rsid w:val="00A671FB"/>
    <w:rsid w:val="00A67B94"/>
    <w:rsid w:val="00A67D96"/>
    <w:rsid w:val="00A75D3B"/>
    <w:rsid w:val="00A76BDD"/>
    <w:rsid w:val="00A76E79"/>
    <w:rsid w:val="00A8009D"/>
    <w:rsid w:val="00A82F68"/>
    <w:rsid w:val="00A83DBA"/>
    <w:rsid w:val="00A85AB9"/>
    <w:rsid w:val="00A86243"/>
    <w:rsid w:val="00A911E0"/>
    <w:rsid w:val="00A91CD6"/>
    <w:rsid w:val="00A9204E"/>
    <w:rsid w:val="00A93672"/>
    <w:rsid w:val="00A96B60"/>
    <w:rsid w:val="00A9780F"/>
    <w:rsid w:val="00AA43DC"/>
    <w:rsid w:val="00AA5790"/>
    <w:rsid w:val="00AB43F9"/>
    <w:rsid w:val="00AC12E7"/>
    <w:rsid w:val="00AC22E3"/>
    <w:rsid w:val="00AC4C19"/>
    <w:rsid w:val="00AC5522"/>
    <w:rsid w:val="00AD244B"/>
    <w:rsid w:val="00AD2CD0"/>
    <w:rsid w:val="00AD497B"/>
    <w:rsid w:val="00AD69B8"/>
    <w:rsid w:val="00AD6A25"/>
    <w:rsid w:val="00AD7C6B"/>
    <w:rsid w:val="00AE0BA9"/>
    <w:rsid w:val="00AE0C8D"/>
    <w:rsid w:val="00AE0FD6"/>
    <w:rsid w:val="00AE1F0B"/>
    <w:rsid w:val="00AE46B2"/>
    <w:rsid w:val="00AF2D17"/>
    <w:rsid w:val="00AF3E64"/>
    <w:rsid w:val="00AF42AA"/>
    <w:rsid w:val="00B03AD2"/>
    <w:rsid w:val="00B05395"/>
    <w:rsid w:val="00B07957"/>
    <w:rsid w:val="00B10592"/>
    <w:rsid w:val="00B118EC"/>
    <w:rsid w:val="00B12AE2"/>
    <w:rsid w:val="00B13369"/>
    <w:rsid w:val="00B159BE"/>
    <w:rsid w:val="00B178B9"/>
    <w:rsid w:val="00B21D68"/>
    <w:rsid w:val="00B25DDC"/>
    <w:rsid w:val="00B26A50"/>
    <w:rsid w:val="00B30A41"/>
    <w:rsid w:val="00B33396"/>
    <w:rsid w:val="00B33596"/>
    <w:rsid w:val="00B36366"/>
    <w:rsid w:val="00B36BF9"/>
    <w:rsid w:val="00B4195E"/>
    <w:rsid w:val="00B43839"/>
    <w:rsid w:val="00B4493F"/>
    <w:rsid w:val="00B503CF"/>
    <w:rsid w:val="00B5063C"/>
    <w:rsid w:val="00B51DB0"/>
    <w:rsid w:val="00B51DB6"/>
    <w:rsid w:val="00B51F83"/>
    <w:rsid w:val="00B53551"/>
    <w:rsid w:val="00B53E66"/>
    <w:rsid w:val="00B5462B"/>
    <w:rsid w:val="00B55841"/>
    <w:rsid w:val="00B5730C"/>
    <w:rsid w:val="00B60267"/>
    <w:rsid w:val="00B61052"/>
    <w:rsid w:val="00B624AB"/>
    <w:rsid w:val="00B63D17"/>
    <w:rsid w:val="00B64A26"/>
    <w:rsid w:val="00B65E20"/>
    <w:rsid w:val="00B6688C"/>
    <w:rsid w:val="00B6775E"/>
    <w:rsid w:val="00B7001E"/>
    <w:rsid w:val="00B71412"/>
    <w:rsid w:val="00B73E4B"/>
    <w:rsid w:val="00B7446F"/>
    <w:rsid w:val="00B758A2"/>
    <w:rsid w:val="00B7794B"/>
    <w:rsid w:val="00B84126"/>
    <w:rsid w:val="00B8437F"/>
    <w:rsid w:val="00B85EFB"/>
    <w:rsid w:val="00B91714"/>
    <w:rsid w:val="00B921A1"/>
    <w:rsid w:val="00B9288A"/>
    <w:rsid w:val="00B93AC2"/>
    <w:rsid w:val="00B974D2"/>
    <w:rsid w:val="00B97C67"/>
    <w:rsid w:val="00BA3788"/>
    <w:rsid w:val="00BA534A"/>
    <w:rsid w:val="00BA60AC"/>
    <w:rsid w:val="00BA6726"/>
    <w:rsid w:val="00BA7E16"/>
    <w:rsid w:val="00BB0333"/>
    <w:rsid w:val="00BB0608"/>
    <w:rsid w:val="00BB217C"/>
    <w:rsid w:val="00BB3DF3"/>
    <w:rsid w:val="00BC0DAD"/>
    <w:rsid w:val="00BC0DCE"/>
    <w:rsid w:val="00BC1E69"/>
    <w:rsid w:val="00BC7065"/>
    <w:rsid w:val="00BC7E9A"/>
    <w:rsid w:val="00BD15C8"/>
    <w:rsid w:val="00BD1880"/>
    <w:rsid w:val="00BD1A41"/>
    <w:rsid w:val="00BD38E2"/>
    <w:rsid w:val="00BD4095"/>
    <w:rsid w:val="00BD54E4"/>
    <w:rsid w:val="00BD5C87"/>
    <w:rsid w:val="00BD6CBC"/>
    <w:rsid w:val="00BD6DCF"/>
    <w:rsid w:val="00BD721D"/>
    <w:rsid w:val="00BE377C"/>
    <w:rsid w:val="00BE3D3B"/>
    <w:rsid w:val="00BE4B87"/>
    <w:rsid w:val="00BE71DE"/>
    <w:rsid w:val="00BE7AE6"/>
    <w:rsid w:val="00BF0CF6"/>
    <w:rsid w:val="00BF36C7"/>
    <w:rsid w:val="00BF6876"/>
    <w:rsid w:val="00C05057"/>
    <w:rsid w:val="00C0604A"/>
    <w:rsid w:val="00C07EBF"/>
    <w:rsid w:val="00C106EE"/>
    <w:rsid w:val="00C11928"/>
    <w:rsid w:val="00C15D5F"/>
    <w:rsid w:val="00C16418"/>
    <w:rsid w:val="00C17C93"/>
    <w:rsid w:val="00C25BD5"/>
    <w:rsid w:val="00C30228"/>
    <w:rsid w:val="00C31C66"/>
    <w:rsid w:val="00C3471A"/>
    <w:rsid w:val="00C36E39"/>
    <w:rsid w:val="00C374C2"/>
    <w:rsid w:val="00C37A8F"/>
    <w:rsid w:val="00C37E25"/>
    <w:rsid w:val="00C43ACD"/>
    <w:rsid w:val="00C4415E"/>
    <w:rsid w:val="00C44C0C"/>
    <w:rsid w:val="00C54781"/>
    <w:rsid w:val="00C5569D"/>
    <w:rsid w:val="00C55929"/>
    <w:rsid w:val="00C56394"/>
    <w:rsid w:val="00C56BC1"/>
    <w:rsid w:val="00C56DBF"/>
    <w:rsid w:val="00C6017A"/>
    <w:rsid w:val="00C61A82"/>
    <w:rsid w:val="00C63DC6"/>
    <w:rsid w:val="00C7484C"/>
    <w:rsid w:val="00C75440"/>
    <w:rsid w:val="00C762FB"/>
    <w:rsid w:val="00C822AF"/>
    <w:rsid w:val="00C836CC"/>
    <w:rsid w:val="00C845B1"/>
    <w:rsid w:val="00C858DC"/>
    <w:rsid w:val="00C92863"/>
    <w:rsid w:val="00C93A1D"/>
    <w:rsid w:val="00C9500E"/>
    <w:rsid w:val="00C953C5"/>
    <w:rsid w:val="00C95762"/>
    <w:rsid w:val="00C97EAE"/>
    <w:rsid w:val="00CA1A8B"/>
    <w:rsid w:val="00CA4446"/>
    <w:rsid w:val="00CB052F"/>
    <w:rsid w:val="00CB2D0B"/>
    <w:rsid w:val="00CB4BEB"/>
    <w:rsid w:val="00CB7564"/>
    <w:rsid w:val="00CC0572"/>
    <w:rsid w:val="00CC7795"/>
    <w:rsid w:val="00CC7854"/>
    <w:rsid w:val="00CD1A35"/>
    <w:rsid w:val="00CD2301"/>
    <w:rsid w:val="00CD70FA"/>
    <w:rsid w:val="00CE040A"/>
    <w:rsid w:val="00CE3AAF"/>
    <w:rsid w:val="00CE3E95"/>
    <w:rsid w:val="00CE72C2"/>
    <w:rsid w:val="00CF0720"/>
    <w:rsid w:val="00CF1602"/>
    <w:rsid w:val="00CF2159"/>
    <w:rsid w:val="00CF558C"/>
    <w:rsid w:val="00D01141"/>
    <w:rsid w:val="00D0243B"/>
    <w:rsid w:val="00D02646"/>
    <w:rsid w:val="00D028C2"/>
    <w:rsid w:val="00D02C92"/>
    <w:rsid w:val="00D03C9C"/>
    <w:rsid w:val="00D03DF0"/>
    <w:rsid w:val="00D05BB6"/>
    <w:rsid w:val="00D07438"/>
    <w:rsid w:val="00D11990"/>
    <w:rsid w:val="00D120EC"/>
    <w:rsid w:val="00D12DE8"/>
    <w:rsid w:val="00D133A2"/>
    <w:rsid w:val="00D1629F"/>
    <w:rsid w:val="00D17334"/>
    <w:rsid w:val="00D254A1"/>
    <w:rsid w:val="00D3207A"/>
    <w:rsid w:val="00D32BD7"/>
    <w:rsid w:val="00D37016"/>
    <w:rsid w:val="00D37411"/>
    <w:rsid w:val="00D41276"/>
    <w:rsid w:val="00D43689"/>
    <w:rsid w:val="00D44F2D"/>
    <w:rsid w:val="00D509E2"/>
    <w:rsid w:val="00D50AFA"/>
    <w:rsid w:val="00D568C9"/>
    <w:rsid w:val="00D56C98"/>
    <w:rsid w:val="00D5721C"/>
    <w:rsid w:val="00D614F8"/>
    <w:rsid w:val="00D67B61"/>
    <w:rsid w:val="00D708B3"/>
    <w:rsid w:val="00D733EC"/>
    <w:rsid w:val="00D73DC2"/>
    <w:rsid w:val="00D75B31"/>
    <w:rsid w:val="00D76C1A"/>
    <w:rsid w:val="00D80AAE"/>
    <w:rsid w:val="00D822A7"/>
    <w:rsid w:val="00D8458B"/>
    <w:rsid w:val="00D86EA0"/>
    <w:rsid w:val="00D873A4"/>
    <w:rsid w:val="00D94D1C"/>
    <w:rsid w:val="00D957C4"/>
    <w:rsid w:val="00D95B4F"/>
    <w:rsid w:val="00D95C70"/>
    <w:rsid w:val="00DA01F4"/>
    <w:rsid w:val="00DA1AA6"/>
    <w:rsid w:val="00DA3986"/>
    <w:rsid w:val="00DA4D8E"/>
    <w:rsid w:val="00DB0219"/>
    <w:rsid w:val="00DC1F31"/>
    <w:rsid w:val="00DC5A06"/>
    <w:rsid w:val="00DC76C0"/>
    <w:rsid w:val="00DD10A8"/>
    <w:rsid w:val="00DD4D59"/>
    <w:rsid w:val="00DD5135"/>
    <w:rsid w:val="00DD52AA"/>
    <w:rsid w:val="00DD5A07"/>
    <w:rsid w:val="00DD5DAB"/>
    <w:rsid w:val="00DE2EBA"/>
    <w:rsid w:val="00DE4C96"/>
    <w:rsid w:val="00DE70F2"/>
    <w:rsid w:val="00DE7165"/>
    <w:rsid w:val="00DF17CF"/>
    <w:rsid w:val="00DF24B2"/>
    <w:rsid w:val="00DF3169"/>
    <w:rsid w:val="00DF36E8"/>
    <w:rsid w:val="00DF5FAE"/>
    <w:rsid w:val="00DF6096"/>
    <w:rsid w:val="00DF6BC1"/>
    <w:rsid w:val="00E01179"/>
    <w:rsid w:val="00E02D65"/>
    <w:rsid w:val="00E05C71"/>
    <w:rsid w:val="00E073DF"/>
    <w:rsid w:val="00E07558"/>
    <w:rsid w:val="00E07A56"/>
    <w:rsid w:val="00E12508"/>
    <w:rsid w:val="00E208A8"/>
    <w:rsid w:val="00E22DC6"/>
    <w:rsid w:val="00E24B1E"/>
    <w:rsid w:val="00E2777E"/>
    <w:rsid w:val="00E331D3"/>
    <w:rsid w:val="00E347C4"/>
    <w:rsid w:val="00E4087F"/>
    <w:rsid w:val="00E40BB1"/>
    <w:rsid w:val="00E41845"/>
    <w:rsid w:val="00E467D2"/>
    <w:rsid w:val="00E506BB"/>
    <w:rsid w:val="00E5099E"/>
    <w:rsid w:val="00E514B3"/>
    <w:rsid w:val="00E52F1A"/>
    <w:rsid w:val="00E57E0B"/>
    <w:rsid w:val="00E57F41"/>
    <w:rsid w:val="00E640C6"/>
    <w:rsid w:val="00E64BF3"/>
    <w:rsid w:val="00E64D78"/>
    <w:rsid w:val="00E65FED"/>
    <w:rsid w:val="00E73D82"/>
    <w:rsid w:val="00E76A86"/>
    <w:rsid w:val="00E812FE"/>
    <w:rsid w:val="00E82132"/>
    <w:rsid w:val="00E82268"/>
    <w:rsid w:val="00E858A4"/>
    <w:rsid w:val="00E86251"/>
    <w:rsid w:val="00E90878"/>
    <w:rsid w:val="00E924B5"/>
    <w:rsid w:val="00E92D8C"/>
    <w:rsid w:val="00EA0342"/>
    <w:rsid w:val="00EA4006"/>
    <w:rsid w:val="00EA5A7F"/>
    <w:rsid w:val="00EB1E95"/>
    <w:rsid w:val="00EB2C78"/>
    <w:rsid w:val="00EB4C55"/>
    <w:rsid w:val="00EB5170"/>
    <w:rsid w:val="00EB68E4"/>
    <w:rsid w:val="00EB706F"/>
    <w:rsid w:val="00EC045E"/>
    <w:rsid w:val="00EC22EC"/>
    <w:rsid w:val="00EC39BD"/>
    <w:rsid w:val="00EC4CA7"/>
    <w:rsid w:val="00EC508A"/>
    <w:rsid w:val="00ED0F02"/>
    <w:rsid w:val="00EE3093"/>
    <w:rsid w:val="00EE3E3E"/>
    <w:rsid w:val="00EE7774"/>
    <w:rsid w:val="00EF243B"/>
    <w:rsid w:val="00EF73BF"/>
    <w:rsid w:val="00F00794"/>
    <w:rsid w:val="00F03716"/>
    <w:rsid w:val="00F0471F"/>
    <w:rsid w:val="00F04E5C"/>
    <w:rsid w:val="00F05843"/>
    <w:rsid w:val="00F05A86"/>
    <w:rsid w:val="00F10C49"/>
    <w:rsid w:val="00F10D01"/>
    <w:rsid w:val="00F10E46"/>
    <w:rsid w:val="00F146D6"/>
    <w:rsid w:val="00F15F50"/>
    <w:rsid w:val="00F20335"/>
    <w:rsid w:val="00F208EB"/>
    <w:rsid w:val="00F210AB"/>
    <w:rsid w:val="00F21C17"/>
    <w:rsid w:val="00F30232"/>
    <w:rsid w:val="00F3195F"/>
    <w:rsid w:val="00F32317"/>
    <w:rsid w:val="00F331C9"/>
    <w:rsid w:val="00F33839"/>
    <w:rsid w:val="00F3485A"/>
    <w:rsid w:val="00F366DE"/>
    <w:rsid w:val="00F370CA"/>
    <w:rsid w:val="00F4137B"/>
    <w:rsid w:val="00F42920"/>
    <w:rsid w:val="00F4583C"/>
    <w:rsid w:val="00F460FC"/>
    <w:rsid w:val="00F46975"/>
    <w:rsid w:val="00F46F9E"/>
    <w:rsid w:val="00F4759C"/>
    <w:rsid w:val="00F5372B"/>
    <w:rsid w:val="00F53B6A"/>
    <w:rsid w:val="00F54C3D"/>
    <w:rsid w:val="00F569D4"/>
    <w:rsid w:val="00F579A1"/>
    <w:rsid w:val="00F6069A"/>
    <w:rsid w:val="00F6180E"/>
    <w:rsid w:val="00F66240"/>
    <w:rsid w:val="00F7091D"/>
    <w:rsid w:val="00F7215D"/>
    <w:rsid w:val="00F72442"/>
    <w:rsid w:val="00F72BF1"/>
    <w:rsid w:val="00F74401"/>
    <w:rsid w:val="00F74BA2"/>
    <w:rsid w:val="00F85A76"/>
    <w:rsid w:val="00F861D3"/>
    <w:rsid w:val="00F90D58"/>
    <w:rsid w:val="00F95885"/>
    <w:rsid w:val="00FA05CA"/>
    <w:rsid w:val="00FA1FFA"/>
    <w:rsid w:val="00FA298C"/>
    <w:rsid w:val="00FA2FFB"/>
    <w:rsid w:val="00FA4827"/>
    <w:rsid w:val="00FA529D"/>
    <w:rsid w:val="00FA6B10"/>
    <w:rsid w:val="00FB0655"/>
    <w:rsid w:val="00FB221A"/>
    <w:rsid w:val="00FB2D95"/>
    <w:rsid w:val="00FB56EB"/>
    <w:rsid w:val="00FB58B7"/>
    <w:rsid w:val="00FB58E0"/>
    <w:rsid w:val="00FC01D2"/>
    <w:rsid w:val="00FC3910"/>
    <w:rsid w:val="00FC3BDC"/>
    <w:rsid w:val="00FC4736"/>
    <w:rsid w:val="00FC4B31"/>
    <w:rsid w:val="00FC4C51"/>
    <w:rsid w:val="00FC63DC"/>
    <w:rsid w:val="00FC664D"/>
    <w:rsid w:val="00FD0483"/>
    <w:rsid w:val="00FD1A2C"/>
    <w:rsid w:val="00FD2B80"/>
    <w:rsid w:val="00FD3BF5"/>
    <w:rsid w:val="00FD3D1B"/>
    <w:rsid w:val="00FE0D93"/>
    <w:rsid w:val="00FE59F3"/>
    <w:rsid w:val="00FF01BA"/>
    <w:rsid w:val="00FF4003"/>
    <w:rsid w:val="00FF5026"/>
    <w:rsid w:val="00FF5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888C"/>
  <w15:docId w15:val="{EBC0C9D6-9653-4BBA-8D96-8889CFF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264E"/>
  </w:style>
  <w:style w:type="paragraph" w:styleId="Nagwek1">
    <w:name w:val="heading 1"/>
    <w:basedOn w:val="Normalny"/>
    <w:next w:val="Normalny"/>
    <w:link w:val="Nagwek1Znak"/>
    <w:uiPriority w:val="9"/>
    <w:qFormat/>
    <w:rsid w:val="000A1393"/>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A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112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1280"/>
  </w:style>
  <w:style w:type="paragraph" w:styleId="Stopka">
    <w:name w:val="footer"/>
    <w:basedOn w:val="Normalny"/>
    <w:link w:val="StopkaZnak"/>
    <w:uiPriority w:val="99"/>
    <w:unhideWhenUsed/>
    <w:rsid w:val="00A11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280"/>
  </w:style>
  <w:style w:type="paragraph" w:styleId="Tekstdymka">
    <w:name w:val="Balloon Text"/>
    <w:basedOn w:val="Normalny"/>
    <w:link w:val="TekstdymkaZnak"/>
    <w:uiPriority w:val="99"/>
    <w:semiHidden/>
    <w:unhideWhenUsed/>
    <w:rsid w:val="008831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3127"/>
    <w:rPr>
      <w:rFonts w:ascii="Segoe UI" w:hAnsi="Segoe UI" w:cs="Segoe UI"/>
      <w:sz w:val="18"/>
      <w:szCs w:val="18"/>
    </w:rPr>
  </w:style>
  <w:style w:type="paragraph" w:styleId="Akapitzlist">
    <w:name w:val="List Paragraph"/>
    <w:aliases w:val="Akapit z listą BS,Akapit z listą3,Akapit z listą31,Akapit z listą2"/>
    <w:basedOn w:val="Normalny"/>
    <w:link w:val="AkapitzlistZnak"/>
    <w:uiPriority w:val="34"/>
    <w:qFormat/>
    <w:rsid w:val="00F32317"/>
    <w:pPr>
      <w:ind w:left="720"/>
      <w:contextualSpacing/>
    </w:pPr>
    <w:rPr>
      <w:rFonts w:ascii="Calibri" w:eastAsia="Times New Roman" w:hAnsi="Calibri" w:cs="Times New Roman"/>
      <w:sz w:val="20"/>
      <w:szCs w:val="20"/>
    </w:rPr>
  </w:style>
  <w:style w:type="character" w:customStyle="1" w:styleId="AkapitzlistZnak">
    <w:name w:val="Akapit z listą Znak"/>
    <w:aliases w:val="Akapit z listą BS Znak,Akapit z listą3 Znak,Akapit z listą31 Znak,Akapit z listą2 Znak"/>
    <w:link w:val="Akapitzlist"/>
    <w:uiPriority w:val="34"/>
    <w:locked/>
    <w:rsid w:val="00F32317"/>
    <w:rPr>
      <w:rFonts w:ascii="Calibri" w:eastAsia="Times New Roman" w:hAnsi="Calibri" w:cs="Times New Roman"/>
      <w:sz w:val="20"/>
      <w:szCs w:val="20"/>
    </w:rPr>
  </w:style>
  <w:style w:type="character" w:styleId="Hipercze">
    <w:name w:val="Hyperlink"/>
    <w:uiPriority w:val="99"/>
    <w:unhideWhenUsed/>
    <w:rsid w:val="00790A97"/>
    <w:rPr>
      <w:color w:val="0000FF"/>
      <w:u w:val="single"/>
    </w:rPr>
  </w:style>
  <w:style w:type="character" w:styleId="Odwoaniedokomentarza">
    <w:name w:val="annotation reference"/>
    <w:basedOn w:val="Domylnaczcionkaakapitu"/>
    <w:uiPriority w:val="99"/>
    <w:semiHidden/>
    <w:unhideWhenUsed/>
    <w:rsid w:val="007754AA"/>
    <w:rPr>
      <w:sz w:val="16"/>
      <w:szCs w:val="16"/>
    </w:rPr>
  </w:style>
  <w:style w:type="paragraph" w:styleId="Tekstkomentarza">
    <w:name w:val="annotation text"/>
    <w:basedOn w:val="Normalny"/>
    <w:link w:val="TekstkomentarzaZnak"/>
    <w:uiPriority w:val="99"/>
    <w:semiHidden/>
    <w:unhideWhenUsed/>
    <w:rsid w:val="007754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754AA"/>
    <w:rPr>
      <w:sz w:val="20"/>
      <w:szCs w:val="20"/>
    </w:rPr>
  </w:style>
  <w:style w:type="paragraph" w:styleId="Tematkomentarza">
    <w:name w:val="annotation subject"/>
    <w:basedOn w:val="Tekstkomentarza"/>
    <w:next w:val="Tekstkomentarza"/>
    <w:link w:val="TematkomentarzaZnak"/>
    <w:uiPriority w:val="99"/>
    <w:semiHidden/>
    <w:unhideWhenUsed/>
    <w:rsid w:val="007754AA"/>
    <w:rPr>
      <w:b/>
      <w:bCs/>
    </w:rPr>
  </w:style>
  <w:style w:type="character" w:customStyle="1" w:styleId="TematkomentarzaZnak">
    <w:name w:val="Temat komentarza Znak"/>
    <w:basedOn w:val="TekstkomentarzaZnak"/>
    <w:link w:val="Tematkomentarza"/>
    <w:uiPriority w:val="99"/>
    <w:semiHidden/>
    <w:rsid w:val="007754AA"/>
    <w:rPr>
      <w:b/>
      <w:bCs/>
      <w:sz w:val="20"/>
      <w:szCs w:val="20"/>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nhideWhenUsed/>
    <w:rsid w:val="007335DB"/>
    <w:pPr>
      <w:spacing w:after="0" w:line="240" w:lineRule="auto"/>
    </w:pPr>
    <w:rPr>
      <w:sz w:val="20"/>
      <w:szCs w:val="20"/>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rsid w:val="007335DB"/>
    <w:rPr>
      <w:sz w:val="20"/>
      <w:szCs w:val="20"/>
    </w:rPr>
  </w:style>
  <w:style w:type="character" w:styleId="Odwoanieprzypisudolnego">
    <w:name w:val="footnote reference"/>
    <w:aliases w:val="Footnote Reference Number,Footnote reference number,Footnote symbol,note TESI,SUPERS,EN Footnote Reference,Footnote number,Odwołanie przypisu,Ref,de nota al pie,Odwo3anie przypisu,Times 10 Point,Exposant 3 Point,number,16 Poi"/>
    <w:basedOn w:val="Domylnaczcionkaakapitu"/>
    <w:unhideWhenUsed/>
    <w:rsid w:val="007335DB"/>
    <w:rPr>
      <w:vertAlign w:val="superscript"/>
    </w:rPr>
  </w:style>
  <w:style w:type="paragraph" w:styleId="Poprawka">
    <w:name w:val="Revision"/>
    <w:hidden/>
    <w:uiPriority w:val="99"/>
    <w:semiHidden/>
    <w:rsid w:val="00997070"/>
    <w:pPr>
      <w:spacing w:after="0" w:line="240" w:lineRule="auto"/>
    </w:pPr>
  </w:style>
  <w:style w:type="paragraph" w:customStyle="1" w:styleId="Default">
    <w:name w:val="Default"/>
    <w:rsid w:val="00957E5D"/>
    <w:pPr>
      <w:autoSpaceDE w:val="0"/>
      <w:autoSpaceDN w:val="0"/>
      <w:adjustRightInd w:val="0"/>
      <w:spacing w:after="0" w:line="240" w:lineRule="auto"/>
    </w:pPr>
    <w:rPr>
      <w:rFonts w:ascii="Arial" w:hAnsi="Arial" w:cs="Arial"/>
      <w:color w:val="000000"/>
      <w:sz w:val="24"/>
      <w:szCs w:val="24"/>
    </w:rPr>
  </w:style>
  <w:style w:type="table" w:customStyle="1" w:styleId="Tabela-Siatka1">
    <w:name w:val="Tabela - Siatka1"/>
    <w:basedOn w:val="Standardowy"/>
    <w:next w:val="Tabela-Siatka"/>
    <w:uiPriority w:val="59"/>
    <w:rsid w:val="002B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61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633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36BF9"/>
    <w:pPr>
      <w:spacing w:after="0" w:line="240" w:lineRule="auto"/>
    </w:pPr>
  </w:style>
  <w:style w:type="paragraph" w:styleId="Tekstprzypisukocowego">
    <w:name w:val="endnote text"/>
    <w:basedOn w:val="Normalny"/>
    <w:link w:val="TekstprzypisukocowegoZnak"/>
    <w:uiPriority w:val="99"/>
    <w:semiHidden/>
    <w:unhideWhenUsed/>
    <w:rsid w:val="003D2D2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D2D2E"/>
    <w:rPr>
      <w:sz w:val="20"/>
      <w:szCs w:val="20"/>
    </w:rPr>
  </w:style>
  <w:style w:type="character" w:styleId="Odwoanieprzypisukocowego">
    <w:name w:val="endnote reference"/>
    <w:basedOn w:val="Domylnaczcionkaakapitu"/>
    <w:uiPriority w:val="99"/>
    <w:semiHidden/>
    <w:unhideWhenUsed/>
    <w:rsid w:val="003D2D2E"/>
    <w:rPr>
      <w:vertAlign w:val="superscript"/>
    </w:rPr>
  </w:style>
  <w:style w:type="character" w:customStyle="1" w:styleId="Nagwek1Znak">
    <w:name w:val="Nagłówek 1 Znak"/>
    <w:basedOn w:val="Domylnaczcionkaakapitu"/>
    <w:link w:val="Nagwek1"/>
    <w:uiPriority w:val="9"/>
    <w:rsid w:val="000A1393"/>
    <w:rPr>
      <w:rFonts w:asciiTheme="majorHAnsi" w:eastAsiaTheme="majorEastAsia" w:hAnsiTheme="majorHAnsi" w:cstheme="majorBidi"/>
      <w:color w:val="365F91" w:themeColor="accent1" w:themeShade="BF"/>
      <w:sz w:val="32"/>
      <w:szCs w:val="32"/>
    </w:rPr>
  </w:style>
  <w:style w:type="table" w:customStyle="1" w:styleId="Tabela-Siatka4">
    <w:name w:val="Tabela - Siatka4"/>
    <w:basedOn w:val="Standardowy"/>
    <w:next w:val="Tabela-Siatka"/>
    <w:uiPriority w:val="59"/>
    <w:rsid w:val="00597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F9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4999">
      <w:bodyDiv w:val="1"/>
      <w:marLeft w:val="0"/>
      <w:marRight w:val="0"/>
      <w:marTop w:val="0"/>
      <w:marBottom w:val="0"/>
      <w:divBdr>
        <w:top w:val="none" w:sz="0" w:space="0" w:color="auto"/>
        <w:left w:val="none" w:sz="0" w:space="0" w:color="auto"/>
        <w:bottom w:val="none" w:sz="0" w:space="0" w:color="auto"/>
        <w:right w:val="none" w:sz="0" w:space="0" w:color="auto"/>
      </w:divBdr>
    </w:div>
    <w:div w:id="213658402">
      <w:bodyDiv w:val="1"/>
      <w:marLeft w:val="0"/>
      <w:marRight w:val="0"/>
      <w:marTop w:val="0"/>
      <w:marBottom w:val="0"/>
      <w:divBdr>
        <w:top w:val="none" w:sz="0" w:space="0" w:color="auto"/>
        <w:left w:val="none" w:sz="0" w:space="0" w:color="auto"/>
        <w:bottom w:val="none" w:sz="0" w:space="0" w:color="auto"/>
        <w:right w:val="none" w:sz="0" w:space="0" w:color="auto"/>
      </w:divBdr>
    </w:div>
    <w:div w:id="335305478">
      <w:bodyDiv w:val="1"/>
      <w:marLeft w:val="0"/>
      <w:marRight w:val="0"/>
      <w:marTop w:val="0"/>
      <w:marBottom w:val="0"/>
      <w:divBdr>
        <w:top w:val="none" w:sz="0" w:space="0" w:color="auto"/>
        <w:left w:val="none" w:sz="0" w:space="0" w:color="auto"/>
        <w:bottom w:val="none" w:sz="0" w:space="0" w:color="auto"/>
        <w:right w:val="none" w:sz="0" w:space="0" w:color="auto"/>
      </w:divBdr>
    </w:div>
    <w:div w:id="410390573">
      <w:bodyDiv w:val="1"/>
      <w:marLeft w:val="0"/>
      <w:marRight w:val="0"/>
      <w:marTop w:val="0"/>
      <w:marBottom w:val="0"/>
      <w:divBdr>
        <w:top w:val="none" w:sz="0" w:space="0" w:color="auto"/>
        <w:left w:val="none" w:sz="0" w:space="0" w:color="auto"/>
        <w:bottom w:val="none" w:sz="0" w:space="0" w:color="auto"/>
        <w:right w:val="none" w:sz="0" w:space="0" w:color="auto"/>
      </w:divBdr>
    </w:div>
    <w:div w:id="1136411246">
      <w:bodyDiv w:val="1"/>
      <w:marLeft w:val="0"/>
      <w:marRight w:val="0"/>
      <w:marTop w:val="0"/>
      <w:marBottom w:val="0"/>
      <w:divBdr>
        <w:top w:val="none" w:sz="0" w:space="0" w:color="auto"/>
        <w:left w:val="none" w:sz="0" w:space="0" w:color="auto"/>
        <w:bottom w:val="none" w:sz="0" w:space="0" w:color="auto"/>
        <w:right w:val="none" w:sz="0" w:space="0" w:color="auto"/>
      </w:divBdr>
    </w:div>
    <w:div w:id="1143619488">
      <w:bodyDiv w:val="1"/>
      <w:marLeft w:val="0"/>
      <w:marRight w:val="0"/>
      <w:marTop w:val="0"/>
      <w:marBottom w:val="0"/>
      <w:divBdr>
        <w:top w:val="none" w:sz="0" w:space="0" w:color="auto"/>
        <w:left w:val="none" w:sz="0" w:space="0" w:color="auto"/>
        <w:bottom w:val="none" w:sz="0" w:space="0" w:color="auto"/>
        <w:right w:val="none" w:sz="0" w:space="0" w:color="auto"/>
      </w:divBdr>
    </w:div>
    <w:div w:id="1148011615">
      <w:bodyDiv w:val="1"/>
      <w:marLeft w:val="0"/>
      <w:marRight w:val="0"/>
      <w:marTop w:val="0"/>
      <w:marBottom w:val="0"/>
      <w:divBdr>
        <w:top w:val="none" w:sz="0" w:space="0" w:color="auto"/>
        <w:left w:val="none" w:sz="0" w:space="0" w:color="auto"/>
        <w:bottom w:val="none" w:sz="0" w:space="0" w:color="auto"/>
        <w:right w:val="none" w:sz="0" w:space="0" w:color="auto"/>
      </w:divBdr>
    </w:div>
    <w:div w:id="1315833156">
      <w:bodyDiv w:val="1"/>
      <w:marLeft w:val="0"/>
      <w:marRight w:val="0"/>
      <w:marTop w:val="0"/>
      <w:marBottom w:val="0"/>
      <w:divBdr>
        <w:top w:val="none" w:sz="0" w:space="0" w:color="auto"/>
        <w:left w:val="none" w:sz="0" w:space="0" w:color="auto"/>
        <w:bottom w:val="none" w:sz="0" w:space="0" w:color="auto"/>
        <w:right w:val="none" w:sz="0" w:space="0" w:color="auto"/>
      </w:divBdr>
    </w:div>
    <w:div w:id="1315841671">
      <w:bodyDiv w:val="1"/>
      <w:marLeft w:val="0"/>
      <w:marRight w:val="0"/>
      <w:marTop w:val="0"/>
      <w:marBottom w:val="0"/>
      <w:divBdr>
        <w:top w:val="none" w:sz="0" w:space="0" w:color="auto"/>
        <w:left w:val="none" w:sz="0" w:space="0" w:color="auto"/>
        <w:bottom w:val="none" w:sz="0" w:space="0" w:color="auto"/>
        <w:right w:val="none" w:sz="0" w:space="0" w:color="auto"/>
      </w:divBdr>
    </w:div>
    <w:div w:id="213590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stat/web/nuts/local-administrative-uni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is.unesco.org/Education/Documents/UNESCO_GC_36C-19_ISCED_EN.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uis.unesco.org/sites/default/files/documents/international-standard-classification-of-education-isced-2011-en.pdf%20" TargetMode="External"/><Relationship Id="rId4" Type="http://schemas.openxmlformats.org/officeDocument/2006/relationships/settings" Target="settings.xml"/><Relationship Id="rId9" Type="http://schemas.openxmlformats.org/officeDocument/2006/relationships/hyperlink" Target="http://www.uis.unesco.org/Education/Documents/UNESCO_GC_36C-19_ISCED_EN.pdf"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0D8B5-5E88-4C71-88E3-A069BB97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6575</Words>
  <Characters>39450</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BARCZ</dc:creator>
  <cp:lastModifiedBy>Ilona Bondarewicz</cp:lastModifiedBy>
  <cp:revision>5</cp:revision>
  <cp:lastPrinted>2023-04-25T06:36:00Z</cp:lastPrinted>
  <dcterms:created xsi:type="dcterms:W3CDTF">2023-10-11T06:00:00Z</dcterms:created>
  <dcterms:modified xsi:type="dcterms:W3CDTF">2023-10-12T11:45:00Z</dcterms:modified>
</cp:coreProperties>
</file>