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D81" w:rsidRDefault="00C20E28" w:rsidP="00C20E28">
      <w:pPr>
        <w:jc w:val="center"/>
        <w:rPr>
          <w:rFonts w:ascii="Calibri" w:hAnsi="Calibri" w:cs="Calibri"/>
          <w:b/>
          <w:sz w:val="32"/>
          <w:szCs w:val="32"/>
        </w:rPr>
      </w:pPr>
      <w:r>
        <w:rPr>
          <w:rFonts w:ascii="Calibri" w:hAnsi="Calibri" w:cs="Calibri"/>
          <w:b/>
          <w:sz w:val="32"/>
          <w:szCs w:val="32"/>
        </w:rPr>
        <w:t>Pytania i odpowiedzi dla naboru wniosków o dofinasowanie w działaniu 5.10 Edukacja włączająca FEO 2021-2027</w:t>
      </w:r>
    </w:p>
    <w:p w:rsidR="00C20E28" w:rsidRDefault="00C20E28" w:rsidP="00C20E28">
      <w:pPr>
        <w:jc w:val="center"/>
        <w:rPr>
          <w:rFonts w:ascii="Calibri" w:hAnsi="Calibri" w:cs="Calibri"/>
          <w:b/>
          <w:sz w:val="32"/>
          <w:szCs w:val="32"/>
        </w:rPr>
      </w:pPr>
    </w:p>
    <w:p w:rsidR="00C20E28" w:rsidRPr="00C20E28" w:rsidRDefault="00C20E28" w:rsidP="00C20E28">
      <w:pPr>
        <w:pStyle w:val="Akapitzlist"/>
        <w:numPr>
          <w:ilvl w:val="0"/>
          <w:numId w:val="1"/>
        </w:numPr>
      </w:pPr>
      <w:r w:rsidRPr="00382658">
        <w:rPr>
          <w:rFonts w:ascii="Tahoma" w:hAnsi="Tahoma" w:cs="Tahoma"/>
          <w:b/>
          <w:bCs/>
        </w:rPr>
        <w:t xml:space="preserve">W regulaminie pojawia się zapis: </w:t>
      </w:r>
      <w:r w:rsidRPr="00382658">
        <w:rPr>
          <w:rFonts w:ascii="Tahoma" w:hAnsi="Tahoma" w:cs="Tahoma"/>
          <w:b/>
          <w:bCs/>
          <w:i/>
          <w:iCs/>
        </w:rPr>
        <w:t xml:space="preserve">dostosowanie stron internetowych, na których będą publikowane informacje o projekcie oraz dokumenty rekrutacyjne, do standardów WCAG 2.1, (WCAG 3.0) jest niezbędne, aby umożliwić pozyskanie informacji o rekrutacji osobom z różnymi rodzajami niepełnosprawności; </w:t>
      </w:r>
      <w:r w:rsidRPr="00382658">
        <w:rPr>
          <w:rFonts w:ascii="Tahoma" w:hAnsi="Tahoma" w:cs="Tahoma"/>
          <w:b/>
          <w:bCs/>
        </w:rPr>
        <w:t>- w związku z tym strony powinny być dostosowane do standardu WCAG 2.1 czy 3.0?</w:t>
      </w:r>
    </w:p>
    <w:p w:rsidR="00C20E28" w:rsidRDefault="00C20E28" w:rsidP="00C20E28">
      <w:pPr>
        <w:pStyle w:val="Akapitzlist"/>
        <w:rPr>
          <w:rFonts w:ascii="Tahoma" w:hAnsi="Tahoma" w:cs="Tahoma"/>
          <w:b/>
          <w:bCs/>
        </w:rPr>
      </w:pPr>
    </w:p>
    <w:p w:rsidR="00C20E28" w:rsidRPr="00255D92" w:rsidRDefault="00C20E28" w:rsidP="00255D92">
      <w:pPr>
        <w:rPr>
          <w:rFonts w:ascii="Tahoma" w:hAnsi="Tahoma" w:cs="Tahoma"/>
        </w:rPr>
      </w:pPr>
      <w:r w:rsidRPr="00255D92">
        <w:rPr>
          <w:rStyle w:val="hgkelc"/>
          <w:rFonts w:ascii="Tahoma" w:hAnsi="Tahoma" w:cs="Tahoma"/>
        </w:rPr>
        <w:t>Zgodnie z obowiązującą Ustawą z dnia 4 kwietnia 2019 r. o dostępności cyfrowej stron internetowych i aplikacji mobilnych wszystkie podmioty publiczne zobowiązane są do: posiadania strony internetowej lub aplikacji mobilnej, dostosowania strony internetowej do wymogów WCAG 2.1. Jednocześnie informuję, że n</w:t>
      </w:r>
      <w:r w:rsidRPr="00255D92">
        <w:rPr>
          <w:rFonts w:ascii="Tahoma" w:hAnsi="Tahoma" w:cs="Tahoma"/>
        </w:rPr>
        <w:t xml:space="preserve">ajnowszą wersją wytycznych jest </w:t>
      </w:r>
      <w:hyperlink r:id="rId7" w:tgtFrame="_blank" w:history="1">
        <w:r w:rsidRPr="00255D92">
          <w:rPr>
            <w:rStyle w:val="Hipercze"/>
            <w:rFonts w:ascii="Tahoma" w:hAnsi="Tahoma" w:cs="Tahoma"/>
          </w:rPr>
          <w:t>WCAG 2.2</w:t>
        </w:r>
      </w:hyperlink>
      <w:r w:rsidRPr="00255D92">
        <w:rPr>
          <w:rFonts w:ascii="Tahoma" w:hAnsi="Tahoma" w:cs="Tahoma"/>
        </w:rPr>
        <w:t xml:space="preserve">, która została opublikowana przez World </w:t>
      </w:r>
      <w:proofErr w:type="spellStart"/>
      <w:r w:rsidRPr="00255D92">
        <w:rPr>
          <w:rFonts w:ascii="Tahoma" w:hAnsi="Tahoma" w:cs="Tahoma"/>
        </w:rPr>
        <w:t>Wide</w:t>
      </w:r>
      <w:proofErr w:type="spellEnd"/>
      <w:r w:rsidRPr="00255D92">
        <w:rPr>
          <w:rFonts w:ascii="Tahoma" w:hAnsi="Tahoma" w:cs="Tahoma"/>
        </w:rPr>
        <w:t xml:space="preserve"> Web </w:t>
      </w:r>
      <w:proofErr w:type="spellStart"/>
      <w:r w:rsidRPr="00255D92">
        <w:rPr>
          <w:rFonts w:ascii="Tahoma" w:hAnsi="Tahoma" w:cs="Tahoma"/>
        </w:rPr>
        <w:t>Consortium</w:t>
      </w:r>
      <w:proofErr w:type="spellEnd"/>
      <w:r w:rsidRPr="00255D92">
        <w:rPr>
          <w:rFonts w:ascii="Tahoma" w:hAnsi="Tahoma" w:cs="Tahoma"/>
        </w:rPr>
        <w:t xml:space="preserve"> (W3C) w październiku 2023 r. Obecnie trwają prace nad </w:t>
      </w:r>
      <w:hyperlink r:id="rId8" w:anchor="about-wcag-3" w:tgtFrame="_blank" w:history="1">
        <w:r w:rsidRPr="00255D92">
          <w:rPr>
            <w:rStyle w:val="Hipercze"/>
            <w:rFonts w:ascii="Tahoma" w:hAnsi="Tahoma" w:cs="Tahoma"/>
          </w:rPr>
          <w:t>WCAG 3.0</w:t>
        </w:r>
      </w:hyperlink>
      <w:r w:rsidRPr="00255D92">
        <w:rPr>
          <w:rFonts w:ascii="Tahoma" w:hAnsi="Tahoma" w:cs="Tahoma"/>
        </w:rPr>
        <w:t xml:space="preserve">. W Polsce powszechnie funkcjonującym standardem jest specyfikacja </w:t>
      </w:r>
      <w:hyperlink r:id="rId9" w:tgtFrame="_blank" w:history="1">
        <w:r w:rsidRPr="00255D92">
          <w:rPr>
            <w:rStyle w:val="Hipercze"/>
            <w:rFonts w:ascii="Tahoma" w:hAnsi="Tahoma" w:cs="Tahoma"/>
          </w:rPr>
          <w:t>WCAG 2.1.</w:t>
        </w:r>
      </w:hyperlink>
      <w:r w:rsidRPr="00255D92">
        <w:rPr>
          <w:rFonts w:ascii="Tahoma" w:hAnsi="Tahoma" w:cs="Tahoma"/>
        </w:rPr>
        <w:t xml:space="preserve"> (poziom AA jest wymagany przez wspomnianą Ustawę o dostępności cyfrowej podmiotów publicznych).</w:t>
      </w:r>
    </w:p>
    <w:p w:rsidR="00C20E28" w:rsidRPr="00255D92" w:rsidRDefault="00C20E28" w:rsidP="00255D92">
      <w:pPr>
        <w:rPr>
          <w:rFonts w:ascii="Tahoma" w:hAnsi="Tahoma" w:cs="Tahoma"/>
        </w:rPr>
      </w:pPr>
      <w:r w:rsidRPr="00255D92">
        <w:rPr>
          <w:rFonts w:ascii="Tahoma" w:hAnsi="Tahoma" w:cs="Tahoma"/>
        </w:rPr>
        <w:t xml:space="preserve">Jednocześnie podkreślam, że Wnioskodawca musi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2 </w:t>
      </w:r>
      <w:r w:rsidRPr="00255D92">
        <w:rPr>
          <w:rFonts w:ascii="Tahoma" w:hAnsi="Tahoma" w:cs="Tahoma"/>
          <w:i/>
        </w:rPr>
        <w:t>Standardy dostępności dla polityki spójności 2021-2027</w:t>
      </w:r>
      <w:r w:rsidRPr="00255D92">
        <w:rPr>
          <w:rFonts w:ascii="Tahoma" w:hAnsi="Tahoma" w:cs="Tahoma"/>
        </w:rPr>
        <w:t xml:space="preserve"> do </w:t>
      </w:r>
      <w:r w:rsidRPr="00255D92">
        <w:rPr>
          <w:rFonts w:ascii="Tahoma" w:hAnsi="Tahoma" w:cs="Tahoma"/>
          <w:i/>
        </w:rPr>
        <w:t>Wytycznych dotyczących realizacji zasady równościowych w ramach funduszy unijnych na lata 2021-2027</w:t>
      </w:r>
      <w:r w:rsidRPr="00255D92">
        <w:rPr>
          <w:rFonts w:ascii="Tahoma" w:hAnsi="Tahoma" w:cs="Tahoma"/>
        </w:rPr>
        <w:t>.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 Niedopuszczalna jest sytuacja, w której odmawia się dostępu do uczestnictwa  w projekcie osobie z niepełnosprawnościami ze względu na bariery np. architektoniczne, komunikacyjne czy cyfrowe. Ważnym elementem jest proces rekrutacji, który musi być zaplanowany tak, aby nikomu nie ograniczał dostępu.</w:t>
      </w:r>
    </w:p>
    <w:p w:rsidR="00C20E28" w:rsidRPr="00C20E28" w:rsidRDefault="00C20E28" w:rsidP="00C20E28">
      <w:pPr>
        <w:pStyle w:val="Akapitzlist"/>
      </w:pPr>
    </w:p>
    <w:p w:rsidR="00C20E28" w:rsidRPr="00C20E28" w:rsidRDefault="00C20E28" w:rsidP="00C20E28">
      <w:pPr>
        <w:pStyle w:val="Akapitzlist"/>
        <w:numPr>
          <w:ilvl w:val="0"/>
          <w:numId w:val="1"/>
        </w:numPr>
      </w:pPr>
      <w:r w:rsidRPr="00382658">
        <w:rPr>
          <w:rFonts w:ascii="Tahoma" w:hAnsi="Tahoma" w:cs="Tahoma"/>
          <w:b/>
          <w:bCs/>
        </w:rPr>
        <w:t xml:space="preserve">W regulaminie widnieje zapis: </w:t>
      </w:r>
      <w:r w:rsidRPr="00382658">
        <w:rPr>
          <w:rFonts w:ascii="Tahoma" w:hAnsi="Tahoma" w:cs="Tahoma"/>
          <w:b/>
          <w:bCs/>
          <w:i/>
          <w:iCs/>
        </w:rPr>
        <w:t xml:space="preserve">Zgodnie z art. 53 ust. 2 rozporządzenia ogólnego, projekt, którego łączny koszt wyrażony w PLN nie przekracza równowartości 200 tys. EUR  w dniu zawarcia umowy o dofinansowanie projektu, rozliczany jest </w:t>
      </w:r>
      <w:r w:rsidRPr="00382658">
        <w:rPr>
          <w:rFonts w:ascii="Tahoma" w:hAnsi="Tahoma" w:cs="Tahoma"/>
          <w:b/>
          <w:bCs/>
        </w:rPr>
        <w:t>obligatoryjnie</w:t>
      </w:r>
      <w:r w:rsidRPr="00382658">
        <w:rPr>
          <w:rFonts w:ascii="Tahoma" w:hAnsi="Tahoma" w:cs="Tahoma"/>
          <w:b/>
          <w:bCs/>
          <w:i/>
          <w:iCs/>
        </w:rPr>
        <w:t xml:space="preserve"> za pomocą uproszczonych metod rozliczania wydatków. </w:t>
      </w:r>
      <w:r w:rsidRPr="00382658">
        <w:rPr>
          <w:rFonts w:ascii="Tahoma" w:hAnsi="Tahoma" w:cs="Tahoma"/>
          <w:b/>
          <w:bCs/>
        </w:rPr>
        <w:t xml:space="preserve">Natomiast na stronie 39 regulaminu widnieje zapis </w:t>
      </w:r>
      <w:r w:rsidRPr="00382658">
        <w:rPr>
          <w:rFonts w:ascii="Tahoma" w:hAnsi="Tahoma" w:cs="Tahoma"/>
          <w:b/>
          <w:bCs/>
          <w:i/>
          <w:iCs/>
        </w:rPr>
        <w:t>Powyższe oznacza, że w naborach objętych niniejszym regulaminem  niezależnie od wartości projektu koszty bezpośrednie są rozliczane wyłącznie na podstawie rzeczywiście ponoszonych wydatków a koszty pośrednie wyłącznie na podstawie stawek ryczałtowych.</w:t>
      </w:r>
      <w:r w:rsidRPr="00382658">
        <w:rPr>
          <w:rFonts w:ascii="Tahoma" w:hAnsi="Tahoma" w:cs="Tahoma"/>
          <w:b/>
          <w:bCs/>
        </w:rPr>
        <w:t xml:space="preserve"> Powyższe zapisy wykluczają się. Proszę o doprecyzowanie.</w:t>
      </w:r>
    </w:p>
    <w:p w:rsidR="00C20E28" w:rsidRDefault="00C20E28" w:rsidP="00C20E28">
      <w:pPr>
        <w:pStyle w:val="Akapitzlist"/>
        <w:rPr>
          <w:rFonts w:ascii="Tahoma" w:hAnsi="Tahoma" w:cs="Tahoma"/>
          <w:b/>
          <w:bCs/>
        </w:rPr>
      </w:pPr>
    </w:p>
    <w:p w:rsidR="00C20E28" w:rsidRDefault="00C20E28" w:rsidP="00C20E28">
      <w:pPr>
        <w:spacing w:after="0" w:line="276" w:lineRule="auto"/>
        <w:rPr>
          <w:rFonts w:ascii="Tahoma" w:hAnsi="Tahoma" w:cs="Tahoma"/>
          <w:bCs/>
        </w:rPr>
      </w:pPr>
      <w:r w:rsidRPr="00382658">
        <w:rPr>
          <w:rFonts w:ascii="Tahoma" w:hAnsi="Tahoma" w:cs="Tahoma"/>
        </w:rPr>
        <w:t xml:space="preserve">Zgodnie z art. 53 ust. 2 rozporządzenia ogólnego, projekt, którego </w:t>
      </w:r>
      <w:r w:rsidRPr="00382658">
        <w:rPr>
          <w:rFonts w:ascii="Tahoma" w:hAnsi="Tahoma" w:cs="Tahoma"/>
          <w:bCs/>
        </w:rPr>
        <w:t xml:space="preserve">łączny koszt wyrażony w PLN nie przekracza równowartości 200 tys. EUR w dniu zawarcia umowy o dofinansowanie projektu, rozliczany jest obligatoryjnie za pomocą uproszczonych metod rozliczania wydatków. </w:t>
      </w:r>
    </w:p>
    <w:p w:rsidR="00C20E28" w:rsidRPr="00382658" w:rsidRDefault="00C20E28" w:rsidP="00C20E28">
      <w:pPr>
        <w:spacing w:after="0" w:line="276" w:lineRule="auto"/>
        <w:rPr>
          <w:rFonts w:ascii="Tahoma" w:hAnsi="Tahoma" w:cs="Tahoma"/>
          <w:bCs/>
          <w:sz w:val="10"/>
          <w:szCs w:val="10"/>
        </w:rPr>
      </w:pPr>
    </w:p>
    <w:p w:rsidR="00C20E28" w:rsidRPr="00382658" w:rsidRDefault="00C20E28" w:rsidP="00C20E28">
      <w:pPr>
        <w:spacing w:after="0" w:line="276" w:lineRule="auto"/>
        <w:rPr>
          <w:rFonts w:ascii="Tahoma" w:hAnsi="Tahoma" w:cs="Tahoma"/>
        </w:rPr>
      </w:pPr>
      <w:r w:rsidRPr="00382658">
        <w:rPr>
          <w:rFonts w:ascii="Tahoma" w:hAnsi="Tahoma" w:cs="Tahoma"/>
        </w:rPr>
        <w:t>Powyższy warunek zostanie spełniony, przy zastosowaniu obowiązkowych stawek ryczałtowych do rozliczenia kosztów pośrednich w projekcie, tak jak wskazano poniżej.</w:t>
      </w:r>
    </w:p>
    <w:p w:rsidR="00C20E28" w:rsidRPr="00382658" w:rsidRDefault="00C20E28" w:rsidP="00C20E28">
      <w:pPr>
        <w:autoSpaceDE w:val="0"/>
        <w:autoSpaceDN w:val="0"/>
        <w:adjustRightInd w:val="0"/>
        <w:spacing w:after="0" w:line="276" w:lineRule="auto"/>
        <w:rPr>
          <w:rFonts w:ascii="Tahoma" w:hAnsi="Tahoma" w:cs="Tahoma"/>
        </w:rPr>
      </w:pPr>
      <w:r w:rsidRPr="00382658">
        <w:rPr>
          <w:rFonts w:ascii="Tahoma" w:hAnsi="Tahoma" w:cs="Tahoma"/>
          <w:bCs/>
        </w:rPr>
        <w:t>Koszty pośrednie projektu rozliczane są wyłącznie z wykorzystaniem stawek ryczałtowych</w:t>
      </w:r>
      <w:r w:rsidRPr="00382658">
        <w:rPr>
          <w:rFonts w:ascii="Tahoma" w:hAnsi="Tahoma" w:cs="Tahoma"/>
        </w:rPr>
        <w:t xml:space="preserve"> wskazanych w </w:t>
      </w:r>
      <w:r w:rsidRPr="00382658">
        <w:rPr>
          <w:rFonts w:ascii="Tahoma" w:hAnsi="Tahoma" w:cs="Tahoma"/>
          <w:i/>
        </w:rPr>
        <w:t>Wytycznych dotyczących kwalifikowalności wydatków na lata 2021-2027</w:t>
      </w:r>
      <w:r w:rsidRPr="00382658">
        <w:rPr>
          <w:rFonts w:ascii="Tahoma" w:hAnsi="Tahoma" w:cs="Tahoma"/>
        </w:rPr>
        <w:t>:</w:t>
      </w:r>
    </w:p>
    <w:p w:rsidR="00C20E28" w:rsidRPr="00382658" w:rsidRDefault="00C20E28" w:rsidP="00C20E28">
      <w:pPr>
        <w:pStyle w:val="Akapitzlist"/>
        <w:numPr>
          <w:ilvl w:val="0"/>
          <w:numId w:val="2"/>
        </w:numPr>
        <w:autoSpaceDE w:val="0"/>
        <w:autoSpaceDN w:val="0"/>
        <w:adjustRightInd w:val="0"/>
        <w:spacing w:after="0" w:line="276" w:lineRule="auto"/>
        <w:ind w:left="714" w:hanging="357"/>
        <w:rPr>
          <w:rFonts w:ascii="Tahoma" w:hAnsi="Tahoma" w:cs="Tahoma"/>
        </w:rPr>
      </w:pPr>
      <w:r w:rsidRPr="00382658">
        <w:rPr>
          <w:rFonts w:ascii="Tahoma" w:hAnsi="Tahoma" w:cs="Tahoma"/>
        </w:rPr>
        <w:t xml:space="preserve">25% kosztów bezpośrednich – w przypadku projektów o wartości kosztów bezpośrednich do 830 tys. PLN włącznie, </w:t>
      </w:r>
    </w:p>
    <w:p w:rsidR="00C20E28" w:rsidRPr="00382658" w:rsidRDefault="00C20E28" w:rsidP="00C20E28">
      <w:pPr>
        <w:pStyle w:val="Akapitzlist"/>
        <w:numPr>
          <w:ilvl w:val="0"/>
          <w:numId w:val="2"/>
        </w:numPr>
        <w:autoSpaceDE w:val="0"/>
        <w:autoSpaceDN w:val="0"/>
        <w:adjustRightInd w:val="0"/>
        <w:spacing w:after="0" w:line="276" w:lineRule="auto"/>
        <w:rPr>
          <w:rFonts w:ascii="Tahoma" w:hAnsi="Tahoma" w:cs="Tahoma"/>
        </w:rPr>
      </w:pPr>
      <w:r w:rsidRPr="00382658">
        <w:rPr>
          <w:rFonts w:ascii="Tahoma" w:hAnsi="Tahoma" w:cs="Tahoma"/>
        </w:rPr>
        <w:t xml:space="preserve">20% kosztów bezpośrednich – w przypadku projektów o wartości kosztów bezpośrednich powyżej 830 tys. PLN do 1 740 tys. PLN włącznie, </w:t>
      </w:r>
    </w:p>
    <w:p w:rsidR="00C20E28" w:rsidRPr="00382658" w:rsidRDefault="00C20E28" w:rsidP="00C20E28">
      <w:pPr>
        <w:pStyle w:val="Akapitzlist"/>
        <w:numPr>
          <w:ilvl w:val="0"/>
          <w:numId w:val="2"/>
        </w:numPr>
        <w:spacing w:after="0" w:line="276" w:lineRule="auto"/>
        <w:rPr>
          <w:rFonts w:ascii="Tahoma" w:hAnsi="Tahoma" w:cs="Tahoma"/>
        </w:rPr>
      </w:pPr>
      <w:r w:rsidRPr="00382658">
        <w:rPr>
          <w:rFonts w:ascii="Tahoma" w:hAnsi="Tahoma" w:cs="Tahoma"/>
        </w:rPr>
        <w:t>15% kosztów bezpośrednich – w przypadku projektów o wartości kosztów bezpośrednich powyżej 1 740 tys. PLN do 4 550 tys. PLN włącznie,</w:t>
      </w:r>
    </w:p>
    <w:p w:rsidR="00C20E28" w:rsidRPr="00382658" w:rsidRDefault="00C20E28" w:rsidP="00C20E28">
      <w:pPr>
        <w:pStyle w:val="Akapitzlist"/>
        <w:numPr>
          <w:ilvl w:val="0"/>
          <w:numId w:val="2"/>
        </w:numPr>
        <w:spacing w:after="0" w:line="276" w:lineRule="auto"/>
        <w:ind w:left="714" w:hanging="357"/>
        <w:rPr>
          <w:rFonts w:ascii="Tahoma" w:hAnsi="Tahoma" w:cs="Tahoma"/>
        </w:rPr>
      </w:pPr>
      <w:r w:rsidRPr="00382658">
        <w:rPr>
          <w:rFonts w:ascii="Tahoma" w:hAnsi="Tahoma" w:cs="Tahoma"/>
        </w:rPr>
        <w:t>10% kosztów bezpośrednich – w przypadku projektów o wartości kosztów bezpośrednich przekraczającej 4 550 tys. PLN</w:t>
      </w:r>
    </w:p>
    <w:p w:rsidR="00C20E28" w:rsidRPr="00382658" w:rsidRDefault="00C20E28" w:rsidP="00C20E28">
      <w:pPr>
        <w:spacing w:after="0" w:line="276" w:lineRule="auto"/>
        <w:rPr>
          <w:rFonts w:ascii="Tahoma" w:hAnsi="Tahoma" w:cs="Tahoma"/>
        </w:rPr>
      </w:pPr>
    </w:p>
    <w:p w:rsidR="00C20E28" w:rsidRPr="00C20E28" w:rsidRDefault="00C20E28" w:rsidP="00C20E28">
      <w:pPr>
        <w:rPr>
          <w:rFonts w:ascii="Tahoma" w:hAnsi="Tahoma" w:cs="Tahoma"/>
        </w:rPr>
      </w:pPr>
      <w:r w:rsidRPr="00C20E28">
        <w:rPr>
          <w:rFonts w:ascii="Tahoma" w:hAnsi="Tahoma" w:cs="Tahoma"/>
        </w:rPr>
        <w:t>Pozostałe wydatki w projekcie są rozliczane na podstawie rzeczywiście poniesionych kosztów</w:t>
      </w:r>
      <w:r w:rsidRPr="00C20E28">
        <w:rPr>
          <w:rFonts w:ascii="Tahoma" w:hAnsi="Tahoma" w:cs="Tahoma"/>
        </w:rPr>
        <w:t>.</w:t>
      </w:r>
    </w:p>
    <w:p w:rsidR="00C20E28" w:rsidRPr="00382658" w:rsidRDefault="00C20E28" w:rsidP="00C20E28">
      <w:pPr>
        <w:spacing w:after="0" w:line="276" w:lineRule="auto"/>
        <w:rPr>
          <w:rFonts w:ascii="Tahoma" w:hAnsi="Tahoma" w:cs="Tahoma"/>
          <w:b/>
          <w:bCs/>
        </w:rPr>
      </w:pPr>
      <w:r w:rsidRPr="00382658">
        <w:rPr>
          <w:rFonts w:ascii="Tahoma" w:hAnsi="Tahoma" w:cs="Tahoma"/>
          <w:b/>
          <w:bCs/>
        </w:rPr>
        <w:t xml:space="preserve">Powyższe oznacza, że w naborach objętych niniejszym regulaminem  niezależnie od wartości projektu koszty bezpośrednie są rozliczane wyłącznie na podstawie rzeczywiście ponoszonych wydatków a koszty pośrednie wyłącznie na podstawie stawek ryczałtowych. </w:t>
      </w:r>
    </w:p>
    <w:p w:rsidR="00C20E28" w:rsidRPr="00382658" w:rsidRDefault="00C20E28" w:rsidP="00C20E28">
      <w:pPr>
        <w:tabs>
          <w:tab w:val="left" w:pos="284"/>
        </w:tabs>
        <w:autoSpaceDE w:val="0"/>
        <w:autoSpaceDN w:val="0"/>
        <w:adjustRightInd w:val="0"/>
        <w:spacing w:after="0" w:line="276" w:lineRule="auto"/>
        <w:rPr>
          <w:rFonts w:ascii="Tahoma" w:hAnsi="Tahoma" w:cs="Tahoma"/>
        </w:rPr>
      </w:pPr>
    </w:p>
    <w:p w:rsidR="00C20E28" w:rsidRPr="00382658" w:rsidRDefault="00C20E28" w:rsidP="00C20E28">
      <w:pPr>
        <w:spacing w:after="0" w:line="276" w:lineRule="auto"/>
        <w:rPr>
          <w:rFonts w:ascii="Tahoma" w:hAnsi="Tahoma" w:cs="Tahoma"/>
          <w:bCs/>
        </w:rPr>
      </w:pPr>
      <w:r w:rsidRPr="00382658">
        <w:rPr>
          <w:rFonts w:ascii="Tahoma" w:hAnsi="Tahoma" w:cs="Tahoma"/>
        </w:rPr>
        <w:t xml:space="preserve">Dodatkowo informuje, że powyższy zapis został ujęty w Regulaminie konkursu zgodnie z zapisami w </w:t>
      </w:r>
      <w:r w:rsidRPr="00382658">
        <w:rPr>
          <w:rFonts w:ascii="Tahoma" w:hAnsi="Tahoma" w:cs="Tahoma"/>
          <w:bCs/>
          <w:i/>
          <w:iCs/>
        </w:rPr>
        <w:t>Wytycznych dotyczących kwalifikowalności wydatków na lata 2021-2027</w:t>
      </w:r>
      <w:r w:rsidRPr="00382658">
        <w:rPr>
          <w:rFonts w:ascii="Tahoma" w:hAnsi="Tahoma" w:cs="Tahoma"/>
          <w:bCs/>
        </w:rPr>
        <w:t>, który brzmi:</w:t>
      </w:r>
    </w:p>
    <w:p w:rsidR="00C20E28" w:rsidRPr="00382658" w:rsidRDefault="00C20E28" w:rsidP="00C20E28">
      <w:pPr>
        <w:autoSpaceDE w:val="0"/>
        <w:autoSpaceDN w:val="0"/>
        <w:adjustRightInd w:val="0"/>
        <w:spacing w:after="0" w:line="276" w:lineRule="auto"/>
        <w:rPr>
          <w:rFonts w:ascii="Tahoma" w:hAnsi="Tahoma" w:cs="Tahoma"/>
          <w:bCs/>
        </w:rPr>
      </w:pPr>
      <w:r w:rsidRPr="00382658">
        <w:rPr>
          <w:rFonts w:ascii="Tahoma" w:hAnsi="Tahoma" w:cs="Tahoma"/>
          <w:bCs/>
        </w:rPr>
        <w:t>„Podrozdział 3.10. Uproszczone metody rozliczania wydatków</w:t>
      </w:r>
    </w:p>
    <w:p w:rsidR="00C20E28" w:rsidRPr="00382658" w:rsidRDefault="00C20E28" w:rsidP="00C20E28">
      <w:pPr>
        <w:autoSpaceDE w:val="0"/>
        <w:autoSpaceDN w:val="0"/>
        <w:adjustRightInd w:val="0"/>
        <w:spacing w:after="0" w:line="276" w:lineRule="auto"/>
        <w:rPr>
          <w:rFonts w:ascii="Tahoma" w:hAnsi="Tahoma" w:cs="Tahoma"/>
        </w:rPr>
      </w:pPr>
      <w:r w:rsidRPr="00382658">
        <w:rPr>
          <w:rFonts w:ascii="Tahoma" w:hAnsi="Tahoma" w:cs="Tahoma"/>
        </w:rPr>
        <w:t>1) Decyzję o dopuszczalności i sposobie wdrożenia uproszczonych metod rozliczania wydatków dla programu, tj.:</w:t>
      </w:r>
    </w:p>
    <w:p w:rsidR="00C20E28" w:rsidRPr="00382658" w:rsidRDefault="00C20E28" w:rsidP="00C20E28">
      <w:pPr>
        <w:autoSpaceDE w:val="0"/>
        <w:autoSpaceDN w:val="0"/>
        <w:adjustRightInd w:val="0"/>
        <w:spacing w:after="0" w:line="276" w:lineRule="auto"/>
        <w:rPr>
          <w:rFonts w:ascii="Tahoma" w:hAnsi="Tahoma" w:cs="Tahoma"/>
        </w:rPr>
      </w:pPr>
      <w:r w:rsidRPr="00382658">
        <w:rPr>
          <w:rFonts w:ascii="Tahoma" w:hAnsi="Tahoma" w:cs="Tahoma"/>
        </w:rPr>
        <w:t>a) stawek jednostkowych, o których mowa art. 53 ust. 1 lit. b rozporządzenia ogólnego,</w:t>
      </w:r>
    </w:p>
    <w:p w:rsidR="00C20E28" w:rsidRPr="00382658" w:rsidRDefault="00C20E28" w:rsidP="00C20E28">
      <w:pPr>
        <w:autoSpaceDE w:val="0"/>
        <w:autoSpaceDN w:val="0"/>
        <w:adjustRightInd w:val="0"/>
        <w:spacing w:after="0" w:line="276" w:lineRule="auto"/>
        <w:rPr>
          <w:rFonts w:ascii="Tahoma" w:hAnsi="Tahoma" w:cs="Tahoma"/>
        </w:rPr>
      </w:pPr>
      <w:r w:rsidRPr="00382658">
        <w:rPr>
          <w:rFonts w:ascii="Tahoma" w:hAnsi="Tahoma" w:cs="Tahoma"/>
        </w:rPr>
        <w:t>b) kwot ryczałtowych, o których mowa w art. 53 ust. 1 lit. c rozporządzenia ogólnego,</w:t>
      </w:r>
    </w:p>
    <w:p w:rsidR="00C20E28" w:rsidRPr="00382658" w:rsidRDefault="00C20E28" w:rsidP="00C20E28">
      <w:pPr>
        <w:autoSpaceDE w:val="0"/>
        <w:autoSpaceDN w:val="0"/>
        <w:adjustRightInd w:val="0"/>
        <w:spacing w:after="0" w:line="276" w:lineRule="auto"/>
        <w:rPr>
          <w:rFonts w:ascii="Tahoma" w:hAnsi="Tahoma" w:cs="Tahoma"/>
        </w:rPr>
      </w:pPr>
      <w:r w:rsidRPr="00382658">
        <w:rPr>
          <w:rFonts w:ascii="Tahoma" w:hAnsi="Tahoma" w:cs="Tahoma"/>
        </w:rPr>
        <w:t>c) stawek ryczałtowych, o których mowa w art. 53 ust. 1 lit. d rozporządzenia ogólnego,</w:t>
      </w:r>
    </w:p>
    <w:p w:rsidR="00C20E28" w:rsidRPr="00382658" w:rsidRDefault="00C20E28" w:rsidP="00C20E28">
      <w:pPr>
        <w:autoSpaceDE w:val="0"/>
        <w:autoSpaceDN w:val="0"/>
        <w:adjustRightInd w:val="0"/>
        <w:spacing w:after="0" w:line="276" w:lineRule="auto"/>
        <w:rPr>
          <w:rFonts w:ascii="Tahoma" w:hAnsi="Tahoma" w:cs="Tahoma"/>
        </w:rPr>
      </w:pPr>
    </w:p>
    <w:p w:rsidR="00C20E28" w:rsidRPr="00C20E28" w:rsidRDefault="00C20E28" w:rsidP="00C20E28">
      <w:pPr>
        <w:rPr>
          <w:rFonts w:ascii="Tahoma" w:hAnsi="Tahoma" w:cs="Tahoma"/>
        </w:rPr>
      </w:pPr>
      <w:r w:rsidRPr="00C20E28">
        <w:rPr>
          <w:rFonts w:ascii="Tahoma" w:hAnsi="Tahoma" w:cs="Tahoma"/>
        </w:rPr>
        <w:t>podejmuje właściwa IZ, z uwzględnieniem art. 53 ust. 2 i 3 rozporządzenia ogólnego, aktów delegowanych i wytycznych KE oraz postanowień niniejszego podrozdziału i podrozdziału 3.12, poprzez wprowadzenie odpowiednich uregulowań w programie, SZOP lub regulaminie wyboru projektów.”</w:t>
      </w:r>
    </w:p>
    <w:p w:rsidR="00C20E28" w:rsidRPr="00C20E28" w:rsidRDefault="00C20E28" w:rsidP="00C20E28">
      <w:pPr>
        <w:pStyle w:val="Akapitzlist"/>
      </w:pPr>
    </w:p>
    <w:p w:rsidR="00C20E28" w:rsidRPr="00C20E28" w:rsidRDefault="00C20E28" w:rsidP="00C20E28">
      <w:pPr>
        <w:pStyle w:val="Akapitzlist"/>
        <w:numPr>
          <w:ilvl w:val="0"/>
          <w:numId w:val="1"/>
        </w:numPr>
      </w:pPr>
      <w:r w:rsidRPr="00382658">
        <w:rPr>
          <w:rFonts w:ascii="Tahoma" w:hAnsi="Tahoma" w:cs="Tahoma"/>
          <w:b/>
          <w:bCs/>
        </w:rPr>
        <w:t>Czy w ramach naboru istnieje możliwość złożenia przez organ prowadzący tj. Gminę jednego wniosku obejmującego wsparciem zarówno przedszkola i szkoły podstawowe podlegające pod dany organ prowadzący?</w:t>
      </w:r>
    </w:p>
    <w:p w:rsidR="00C20E28" w:rsidRDefault="00C20E28" w:rsidP="00C20E28">
      <w:r w:rsidRPr="00382658">
        <w:rPr>
          <w:rFonts w:ascii="Tahoma" w:hAnsi="Tahoma" w:cs="Tahoma"/>
        </w:rPr>
        <w:t xml:space="preserve">Tak, w ramach naboru 5.10 </w:t>
      </w:r>
      <w:r w:rsidRPr="00382658">
        <w:rPr>
          <w:rFonts w:ascii="Tahoma" w:hAnsi="Tahoma" w:cs="Tahoma"/>
          <w:i/>
          <w:iCs/>
        </w:rPr>
        <w:t>Edukacja włączająca</w:t>
      </w:r>
      <w:r w:rsidRPr="00382658">
        <w:rPr>
          <w:rFonts w:ascii="Tahoma" w:hAnsi="Tahoma" w:cs="Tahoma"/>
        </w:rPr>
        <w:t xml:space="preserve"> istnieje możliwość złożenia 1 wniosku o dofinansowanie projektu, gdzie wsparciem objęte zostaną OWP i szkoły podstawowe, które </w:t>
      </w:r>
      <w:r w:rsidRPr="00382658">
        <w:rPr>
          <w:rFonts w:ascii="Tahoma" w:hAnsi="Tahoma" w:cs="Tahoma"/>
        </w:rPr>
        <w:lastRenderedPageBreak/>
        <w:t>podlegają pod jeden organ prowadzący. Niemniej jednak uwzględniając możliwe różnice w rozwoju dzieci uczęszczających do OWP a szkoły podstawowej, w tym różnice w rozwoju fizycznym i emocjonalnym, a także psychicznym i intelektualnym, które to mogą mieć istotny wpływ na formę wsparcia, jak również możliwość lepszego dopasowania projektu w zakresie przypisanych do osiągnięcia wskaźników rezultatu i zoptymalizowania wydatków, które to mają wymierny wpływ na ocenę projektu, sugerujemy rozważyć możliwość złożenia osobnych wniosków dla OWP i szkoły/szkół podstawowych podlegających pod dany organ prowadzący.</w:t>
      </w:r>
    </w:p>
    <w:p w:rsidR="00C20E28" w:rsidRPr="00C20E28" w:rsidRDefault="00C20E28" w:rsidP="00C20E28">
      <w:pPr>
        <w:pStyle w:val="Akapitzlist"/>
        <w:numPr>
          <w:ilvl w:val="0"/>
          <w:numId w:val="1"/>
        </w:numPr>
      </w:pPr>
      <w:r w:rsidRPr="00382658">
        <w:rPr>
          <w:rFonts w:ascii="Tahoma" w:hAnsi="Tahoma" w:cs="Tahoma"/>
          <w:b/>
          <w:bCs/>
        </w:rPr>
        <w:t>Czy w ramach naboru można sfinansować zatrudnienie pomocy nauczyciela praz pedagoga specjalnego?</w:t>
      </w:r>
    </w:p>
    <w:p w:rsidR="00C20E28" w:rsidRPr="00C20E28" w:rsidRDefault="00C20E28" w:rsidP="00C20E28">
      <w:r w:rsidRPr="00382658">
        <w:rPr>
          <w:rFonts w:ascii="Tahoma" w:eastAsia="Times New Roman" w:hAnsi="Tahoma" w:cs="Tahoma"/>
          <w:lang w:eastAsia="pl-PL"/>
        </w:rPr>
        <w:t xml:space="preserve">W ramach typu projektu podlegającego dofinansowaniu istnieje możliwość bezpośredniego wsparcia dzieci i uczniów ze specjalnymi potrzebami edukacyjnymi </w:t>
      </w:r>
      <w:r w:rsidRPr="00382658">
        <w:rPr>
          <w:rFonts w:ascii="Tahoma" w:eastAsia="Times New Roman" w:hAnsi="Tahoma" w:cs="Tahoma"/>
          <w:lang w:eastAsia="pl-PL"/>
        </w:rPr>
        <w:br/>
        <w:t xml:space="preserve">w ramach edukacji włączającej w zakresie zapewnienia pełnego dostępu do edukacji ogólnodostępnej, w tym w  szczególności wsparcia dla dzieci i uczniów posiadających orzeczenie o potrzebie kształcenia specjalnego, w tym z niepełnosprawnościami oraz zagrożonych niedostosowaniem społecznym i niedostosowanych społecznie m.in. poprzez </w:t>
      </w:r>
      <w:r w:rsidRPr="00771AD5">
        <w:rPr>
          <w:rFonts w:ascii="Tahoma" w:eastAsia="Times New Roman" w:hAnsi="Tahoma" w:cs="Tahoma"/>
          <w:u w:val="single"/>
          <w:lang w:eastAsia="pl-PL"/>
        </w:rPr>
        <w:t>zapewnienie usług asystenckich, nauczania wspomaganego.</w:t>
      </w:r>
      <w:r w:rsidRPr="00382658">
        <w:rPr>
          <w:rFonts w:ascii="Tahoma" w:eastAsia="Times New Roman" w:hAnsi="Tahoma" w:cs="Tahoma"/>
          <w:lang w:eastAsia="pl-PL"/>
        </w:rPr>
        <w:t xml:space="preserve"> O tym, czy dany wydatek zostanie uznany za kwalifikowalny decyduje Komisja Oceny Projektów uwzględniając zapisy zawarte we wniosku o dofinansowanie, w tym przeprowadzoną diagnozę potrzeb.</w:t>
      </w:r>
    </w:p>
    <w:p w:rsidR="00C20E28" w:rsidRPr="00C20E28" w:rsidRDefault="00C20E28" w:rsidP="00C20E28">
      <w:pPr>
        <w:pStyle w:val="Akapitzlist"/>
        <w:numPr>
          <w:ilvl w:val="0"/>
          <w:numId w:val="1"/>
        </w:numPr>
      </w:pPr>
      <w:r w:rsidRPr="00382658">
        <w:rPr>
          <w:rFonts w:ascii="Tahoma" w:eastAsia="Times New Roman" w:hAnsi="Tahoma" w:cs="Tahoma"/>
          <w:b/>
          <w:bCs/>
          <w:lang w:eastAsia="pl-PL"/>
        </w:rPr>
        <w:t xml:space="preserve">Czy w ramach projektu można sfinansować utworzenia kącika </w:t>
      </w:r>
      <w:proofErr w:type="spellStart"/>
      <w:r w:rsidRPr="00382658">
        <w:rPr>
          <w:rFonts w:ascii="Tahoma" w:eastAsia="Times New Roman" w:hAnsi="Tahoma" w:cs="Tahoma"/>
          <w:b/>
          <w:bCs/>
          <w:lang w:eastAsia="pl-PL"/>
        </w:rPr>
        <w:t>wyciszeń</w:t>
      </w:r>
      <w:proofErr w:type="spellEnd"/>
      <w:r w:rsidRPr="00382658">
        <w:rPr>
          <w:rFonts w:ascii="Tahoma" w:eastAsia="Times New Roman" w:hAnsi="Tahoma" w:cs="Tahoma"/>
          <w:b/>
          <w:bCs/>
          <w:lang w:eastAsia="pl-PL"/>
        </w:rPr>
        <w:t xml:space="preserve"> oraz sali doświadczania świata dla uczniów ze specjalnymi potrzeba edukacyjnymi?</w:t>
      </w:r>
    </w:p>
    <w:p w:rsidR="00C20E28" w:rsidRPr="00382658" w:rsidRDefault="00C20E28" w:rsidP="00C20E28">
      <w:pPr>
        <w:pStyle w:val="Default"/>
        <w:spacing w:line="276" w:lineRule="auto"/>
        <w:rPr>
          <w:rFonts w:ascii="Tahoma" w:eastAsia="Times New Roman" w:hAnsi="Tahoma" w:cs="Tahoma"/>
          <w:sz w:val="22"/>
          <w:szCs w:val="22"/>
          <w:lang w:eastAsia="pl-PL"/>
        </w:rPr>
      </w:pPr>
      <w:r w:rsidRPr="00382658">
        <w:rPr>
          <w:rFonts w:ascii="Tahoma" w:eastAsia="Times New Roman" w:hAnsi="Tahoma" w:cs="Tahoma"/>
          <w:sz w:val="22"/>
          <w:szCs w:val="22"/>
          <w:lang w:eastAsia="pl-PL"/>
        </w:rPr>
        <w:t xml:space="preserve">W ramach ogłoszonego konkursu jednym z typów projektu jest </w:t>
      </w:r>
      <w:r>
        <w:rPr>
          <w:rFonts w:ascii="Tahoma" w:eastAsia="Times New Roman" w:hAnsi="Tahoma" w:cs="Tahoma"/>
          <w:sz w:val="22"/>
          <w:szCs w:val="22"/>
          <w:lang w:eastAsia="pl-PL"/>
        </w:rPr>
        <w:t>w</w:t>
      </w:r>
      <w:r w:rsidRPr="00382658">
        <w:rPr>
          <w:rFonts w:ascii="Tahoma" w:eastAsia="Times New Roman" w:hAnsi="Tahoma" w:cs="Tahoma"/>
          <w:sz w:val="22"/>
          <w:szCs w:val="22"/>
          <w:lang w:eastAsia="pl-PL"/>
        </w:rPr>
        <w:t>drażanie i</w:t>
      </w:r>
      <w:r>
        <w:rPr>
          <w:rFonts w:ascii="Tahoma" w:eastAsia="Times New Roman" w:hAnsi="Tahoma" w:cs="Tahoma"/>
          <w:sz w:val="22"/>
          <w:szCs w:val="22"/>
          <w:lang w:eastAsia="pl-PL"/>
        </w:rPr>
        <w:t xml:space="preserve"> </w:t>
      </w:r>
      <w:r w:rsidRPr="00382658">
        <w:rPr>
          <w:rFonts w:ascii="Tahoma" w:eastAsia="Times New Roman" w:hAnsi="Tahoma" w:cs="Tahoma"/>
          <w:sz w:val="22"/>
          <w:szCs w:val="22"/>
          <w:lang w:eastAsia="pl-PL"/>
        </w:rPr>
        <w:t>upowszechnianie:</w:t>
      </w:r>
    </w:p>
    <w:p w:rsidR="00C20E28" w:rsidRPr="00382658" w:rsidRDefault="00C20E28" w:rsidP="00C20E28">
      <w:pPr>
        <w:pStyle w:val="Default"/>
        <w:numPr>
          <w:ilvl w:val="0"/>
          <w:numId w:val="3"/>
        </w:numPr>
        <w:spacing w:line="276" w:lineRule="auto"/>
        <w:ind w:left="709" w:hanging="425"/>
        <w:rPr>
          <w:rFonts w:ascii="Tahoma" w:eastAsia="Times New Roman" w:hAnsi="Tahoma" w:cs="Tahoma"/>
          <w:sz w:val="22"/>
          <w:szCs w:val="22"/>
          <w:lang w:eastAsia="pl-PL"/>
        </w:rPr>
      </w:pPr>
      <w:r w:rsidRPr="00382658">
        <w:rPr>
          <w:rFonts w:ascii="Tahoma" w:eastAsia="Times New Roman" w:hAnsi="Tahoma" w:cs="Tahoma"/>
          <w:sz w:val="22"/>
          <w:szCs w:val="22"/>
          <w:lang w:eastAsia="pl-PL"/>
        </w:rPr>
        <w:t>wypracowanego w ramach PO WER Modelu Dostępnej Szkoły (MDS) w celu poprawy dostępności szkół podstawowych poprzez eliminowanie barier w różnych obszarach: architektonicznym, technicznym, edukacyjno-społecznym, związanym z organizacją, procedurami i zatrudnieniem oraz kompetencjami kadry.</w:t>
      </w:r>
    </w:p>
    <w:p w:rsidR="00C20E28" w:rsidRPr="00382658" w:rsidRDefault="00C20E28" w:rsidP="00C20E28">
      <w:pPr>
        <w:pStyle w:val="Default"/>
        <w:numPr>
          <w:ilvl w:val="0"/>
          <w:numId w:val="3"/>
        </w:numPr>
        <w:spacing w:line="276" w:lineRule="auto"/>
        <w:ind w:left="709" w:hanging="425"/>
        <w:rPr>
          <w:rFonts w:ascii="Tahoma" w:eastAsia="Times New Roman" w:hAnsi="Tahoma" w:cs="Tahoma"/>
          <w:sz w:val="22"/>
          <w:szCs w:val="22"/>
          <w:lang w:eastAsia="pl-PL"/>
        </w:rPr>
      </w:pPr>
      <w:r w:rsidRPr="00382658">
        <w:rPr>
          <w:rFonts w:ascii="Tahoma" w:eastAsia="Times New Roman" w:hAnsi="Tahoma" w:cs="Tahoma"/>
          <w:sz w:val="22"/>
          <w:szCs w:val="22"/>
          <w:lang w:eastAsia="pl-PL"/>
        </w:rPr>
        <w:t>standardów pracy i usług asystenta ucznia ze specjalnymi potrzebami edukacyjnymi, w tym z niepełnosprawnościami (ASPE), wypracowanych w ramach projektu „Asystent ucznia o specjalnych potrzebach edukacyjnych - pilotaż”  w przedszkolach i szkołach,</w:t>
      </w:r>
    </w:p>
    <w:p w:rsidR="00C20E28" w:rsidRPr="00382658" w:rsidRDefault="00C20E28" w:rsidP="00C20E28">
      <w:pPr>
        <w:pStyle w:val="Default"/>
        <w:numPr>
          <w:ilvl w:val="0"/>
          <w:numId w:val="3"/>
        </w:numPr>
        <w:spacing w:line="276" w:lineRule="auto"/>
        <w:ind w:left="709" w:hanging="425"/>
        <w:rPr>
          <w:rFonts w:ascii="Tahoma" w:eastAsia="Times New Roman" w:hAnsi="Tahoma" w:cs="Tahoma"/>
          <w:sz w:val="22"/>
          <w:szCs w:val="22"/>
          <w:lang w:eastAsia="pl-PL"/>
        </w:rPr>
      </w:pPr>
      <w:r w:rsidRPr="00382658">
        <w:rPr>
          <w:rFonts w:ascii="Tahoma" w:eastAsia="Times New Roman" w:hAnsi="Tahoma" w:cs="Tahoma"/>
          <w:sz w:val="22"/>
          <w:szCs w:val="22"/>
          <w:lang w:eastAsia="pl-PL"/>
        </w:rPr>
        <w:t xml:space="preserve">zasad projektowania uniwersalnego w nauczaniu (ULD – </w:t>
      </w:r>
      <w:proofErr w:type="spellStart"/>
      <w:r w:rsidRPr="00382658">
        <w:rPr>
          <w:rFonts w:ascii="Tahoma" w:eastAsia="Times New Roman" w:hAnsi="Tahoma" w:cs="Tahoma"/>
          <w:sz w:val="22"/>
          <w:szCs w:val="22"/>
          <w:lang w:eastAsia="pl-PL"/>
        </w:rPr>
        <w:t>universal</w:t>
      </w:r>
      <w:proofErr w:type="spellEnd"/>
      <w:r w:rsidRPr="00382658">
        <w:rPr>
          <w:rFonts w:ascii="Tahoma" w:eastAsia="Times New Roman" w:hAnsi="Tahoma" w:cs="Tahoma"/>
          <w:sz w:val="22"/>
          <w:szCs w:val="22"/>
          <w:lang w:eastAsia="pl-PL"/>
        </w:rPr>
        <w:t xml:space="preserve"> learning design).</w:t>
      </w:r>
    </w:p>
    <w:p w:rsidR="00C20E28" w:rsidRPr="00382658" w:rsidRDefault="00C20E28" w:rsidP="00C20E28">
      <w:pPr>
        <w:pStyle w:val="Default"/>
        <w:spacing w:line="276" w:lineRule="auto"/>
        <w:rPr>
          <w:rFonts w:ascii="Tahoma" w:eastAsia="Times New Roman" w:hAnsi="Tahoma" w:cs="Tahoma"/>
          <w:sz w:val="22"/>
          <w:szCs w:val="22"/>
          <w:lang w:eastAsia="pl-PL"/>
        </w:rPr>
      </w:pPr>
    </w:p>
    <w:p w:rsidR="00C20E28" w:rsidRPr="00C20E28" w:rsidRDefault="00C20E28" w:rsidP="00C20E28">
      <w:r w:rsidRPr="00C20E28">
        <w:rPr>
          <w:rFonts w:ascii="Tahoma" w:eastAsia="Times New Roman" w:hAnsi="Tahoma" w:cs="Tahoma"/>
          <w:lang w:eastAsia="pl-PL"/>
        </w:rPr>
        <w:t xml:space="preserve">Jeżeli planowane przez Państwa utworzenie kącika </w:t>
      </w:r>
      <w:proofErr w:type="spellStart"/>
      <w:r w:rsidRPr="00C20E28">
        <w:rPr>
          <w:rFonts w:ascii="Tahoma" w:eastAsia="Times New Roman" w:hAnsi="Tahoma" w:cs="Tahoma"/>
          <w:lang w:eastAsia="pl-PL"/>
        </w:rPr>
        <w:t>wyciszeń</w:t>
      </w:r>
      <w:proofErr w:type="spellEnd"/>
      <w:r w:rsidRPr="00C20E28">
        <w:rPr>
          <w:rFonts w:ascii="Tahoma" w:eastAsia="Times New Roman" w:hAnsi="Tahoma" w:cs="Tahoma"/>
          <w:lang w:eastAsia="pl-PL"/>
        </w:rPr>
        <w:t xml:space="preserve"> lub sali doświadczania świata dla uczniów ze specjalnymi potrzebami edukacyjnymi wpisują się ww. zakres wsparcia to istnieje możliwość sfinansowania takich zakupów. Jednak uzasadnienie zakupu oraz argumenty mówiące o niezbędności tych wydatków do osiągnięcia założonych w projekcie celów muszą zostać wpisane do wniosku o dofinansowanie. Pragnę przy tym podkreślić, że ostateczna ocena projektu pod kątem jego racjonalności i celowości należy do Komisji Oceny Projektów.</w:t>
      </w:r>
    </w:p>
    <w:p w:rsidR="00C20E28" w:rsidRPr="00C20E28" w:rsidRDefault="00C20E28" w:rsidP="00C20E28">
      <w:pPr>
        <w:pStyle w:val="Akapitzlist"/>
        <w:numPr>
          <w:ilvl w:val="0"/>
          <w:numId w:val="1"/>
        </w:numPr>
      </w:pPr>
      <w:r w:rsidRPr="00382658">
        <w:rPr>
          <w:rFonts w:ascii="Tahoma" w:eastAsia="Times New Roman" w:hAnsi="Tahoma" w:cs="Tahoma"/>
          <w:b/>
          <w:bCs/>
          <w:lang w:eastAsia="pl-PL"/>
        </w:rPr>
        <w:t xml:space="preserve">Jednym z kryteriów punktowych jest: </w:t>
      </w:r>
      <w:r w:rsidRPr="00382658">
        <w:rPr>
          <w:rFonts w:ascii="Tahoma" w:eastAsia="Times New Roman" w:hAnsi="Tahoma" w:cs="Tahoma"/>
          <w:b/>
          <w:bCs/>
          <w:i/>
          <w:iCs/>
          <w:lang w:eastAsia="pl-PL"/>
        </w:rPr>
        <w:t>Projekt zakłada współpracę w celu realizacji działań na rzecz edukacji włączającej</w:t>
      </w:r>
      <w:r w:rsidRPr="00382658">
        <w:rPr>
          <w:rFonts w:ascii="Tahoma" w:eastAsia="Times New Roman" w:hAnsi="Tahoma" w:cs="Tahoma"/>
          <w:b/>
          <w:bCs/>
          <w:lang w:eastAsia="pl-PL"/>
        </w:rPr>
        <w:t xml:space="preserve">. Czy kryterium zostanie spełnione w sytuacji zaplanowania wsparcia w formie warsztatu dla nauczycieli z udziałem ucznia i/lub rodzica, które będzie prowadzone przez </w:t>
      </w:r>
      <w:r w:rsidRPr="00382658">
        <w:rPr>
          <w:rFonts w:ascii="Tahoma" w:eastAsia="Times New Roman" w:hAnsi="Tahoma" w:cs="Tahoma"/>
          <w:b/>
          <w:bCs/>
          <w:lang w:eastAsia="pl-PL"/>
        </w:rPr>
        <w:lastRenderedPageBreak/>
        <w:t>specjalistę psychologa lub pedagoga zatrudnionego w placówce, w której wsparcie będzie świadczone?</w:t>
      </w:r>
    </w:p>
    <w:p w:rsidR="00C20E28" w:rsidRPr="00382658" w:rsidRDefault="00C20E28" w:rsidP="00C20E28">
      <w:pPr>
        <w:pStyle w:val="Default"/>
        <w:spacing w:line="276" w:lineRule="auto"/>
        <w:rPr>
          <w:rFonts w:ascii="Tahoma" w:hAnsi="Tahoma" w:cs="Tahoma"/>
          <w:sz w:val="22"/>
          <w:szCs w:val="22"/>
        </w:rPr>
      </w:pPr>
      <w:r w:rsidRPr="00382658">
        <w:rPr>
          <w:rFonts w:ascii="Tahoma" w:eastAsia="Times New Roman" w:hAnsi="Tahoma" w:cs="Tahoma"/>
          <w:sz w:val="22"/>
          <w:szCs w:val="22"/>
          <w:lang w:eastAsia="pl-PL"/>
        </w:rPr>
        <w:t>Zgodnie z treścią ww. kryterium: „</w:t>
      </w:r>
      <w:r w:rsidRPr="00382658">
        <w:rPr>
          <w:rFonts w:ascii="Tahoma" w:hAnsi="Tahoma" w:cs="Tahoma"/>
          <w:sz w:val="22"/>
          <w:szCs w:val="22"/>
        </w:rPr>
        <w:t xml:space="preserve">W prawidłowym kształtowaniu i wspomaganiu rozwoju psychicznego, emocjonalnego oraz społecznego dziecka/ ucznia istotna jest współpraca nauczycieli, specjalistów oraz rodziców. Dlatego też premiowane będą projekty zakładające </w:t>
      </w:r>
      <w:r w:rsidRPr="00382658">
        <w:rPr>
          <w:rFonts w:ascii="Tahoma" w:hAnsi="Tahoma" w:cs="Tahoma"/>
          <w:sz w:val="22"/>
          <w:szCs w:val="22"/>
          <w:u w:val="single"/>
        </w:rPr>
        <w:t>zaangażowanie specjalistów</w:t>
      </w:r>
      <w:r w:rsidRPr="00382658">
        <w:rPr>
          <w:rFonts w:ascii="Tahoma" w:hAnsi="Tahoma" w:cs="Tahoma"/>
          <w:sz w:val="22"/>
          <w:szCs w:val="22"/>
        </w:rPr>
        <w:t xml:space="preserve"> np. psychologów, pedagogów, terapeutów i/lub organizacji pozarządowych i/lub  poradni psychologiczno-pedagogicznych i/lub innych podmiotów </w:t>
      </w:r>
      <w:r w:rsidRPr="00382658">
        <w:rPr>
          <w:rFonts w:ascii="Tahoma" w:hAnsi="Tahoma" w:cs="Tahoma"/>
          <w:sz w:val="22"/>
          <w:szCs w:val="22"/>
          <w:u w:val="single"/>
        </w:rPr>
        <w:t>celem wspierania nauczycieli</w:t>
      </w:r>
      <w:r w:rsidRPr="00382658">
        <w:rPr>
          <w:rFonts w:ascii="Tahoma" w:hAnsi="Tahoma" w:cs="Tahoma"/>
          <w:sz w:val="22"/>
          <w:szCs w:val="22"/>
        </w:rPr>
        <w:t xml:space="preserve">  w realizacji działań na rzecz edukacji włączającej. Współpraca, o której mowa powyżej musi uwzględniać zaangażowanie rodziców/opiekunów dzieci/  uczniów i może obejmować np. spotkania indywidualne, grupowe, warsztaty. </w:t>
      </w:r>
    </w:p>
    <w:p w:rsidR="00C20E28" w:rsidRDefault="00C20E28" w:rsidP="00C20E28">
      <w:pPr>
        <w:pStyle w:val="Default"/>
        <w:spacing w:line="276" w:lineRule="auto"/>
        <w:rPr>
          <w:rFonts w:ascii="Tahoma" w:hAnsi="Tahoma" w:cs="Tahoma"/>
          <w:sz w:val="22"/>
          <w:szCs w:val="22"/>
        </w:rPr>
      </w:pPr>
      <w:r w:rsidRPr="00382658">
        <w:rPr>
          <w:rFonts w:ascii="Tahoma" w:hAnsi="Tahoma" w:cs="Tahoma"/>
          <w:sz w:val="22"/>
          <w:szCs w:val="22"/>
        </w:rPr>
        <w:t xml:space="preserve">Warunkiem spełnienia kryterium na etapie oceny projektu jest ujęcie we wniosku o dofinansowanie zapisów wskazujących na podjęcie współpracy w zakresie opisanym powyżej.” </w:t>
      </w:r>
    </w:p>
    <w:p w:rsidR="00C20E28" w:rsidRPr="00771AD5" w:rsidRDefault="00C20E28" w:rsidP="00C20E28">
      <w:pPr>
        <w:pStyle w:val="Default"/>
        <w:spacing w:line="276" w:lineRule="auto"/>
        <w:rPr>
          <w:rFonts w:ascii="Tahoma" w:hAnsi="Tahoma" w:cs="Tahoma"/>
          <w:sz w:val="10"/>
          <w:szCs w:val="10"/>
        </w:rPr>
      </w:pPr>
    </w:p>
    <w:p w:rsidR="00C20E28" w:rsidRPr="00C20E28" w:rsidRDefault="00C20E28" w:rsidP="00C20E28">
      <w:r w:rsidRPr="00C20E28">
        <w:rPr>
          <w:rFonts w:ascii="Tahoma" w:hAnsi="Tahoma" w:cs="Tahoma"/>
        </w:rPr>
        <w:t>Współpraca musi być nawiązana pomiędzy nauczycielem, specjalistą oraz rodzicami w formie np. spotkań indywidualnych, grupowych bądź warsztatów.</w:t>
      </w:r>
      <w:r w:rsidRPr="00C20E28">
        <w:rPr>
          <w:rFonts w:ascii="Tahoma" w:eastAsia="Times New Roman" w:hAnsi="Tahoma" w:cs="Tahoma"/>
          <w:lang w:eastAsia="pl-PL"/>
        </w:rPr>
        <w:t xml:space="preserve"> Pragnę przy tym podkreślić, że ostateczna ocena projektu pod kątem jego racjonalności i celowości należy do Komisji Oceny Projektów.</w:t>
      </w:r>
    </w:p>
    <w:p w:rsidR="009A6CF7" w:rsidRPr="009A6CF7" w:rsidRDefault="00C20E28" w:rsidP="009A6CF7">
      <w:pPr>
        <w:pStyle w:val="Akapitzlist"/>
        <w:numPr>
          <w:ilvl w:val="0"/>
          <w:numId w:val="1"/>
        </w:numPr>
      </w:pPr>
      <w:r w:rsidRPr="00382658">
        <w:rPr>
          <w:rFonts w:ascii="Tahoma" w:eastAsia="Times New Roman" w:hAnsi="Tahoma" w:cs="Tahoma"/>
          <w:b/>
          <w:bCs/>
          <w:lang w:eastAsia="pl-PL"/>
        </w:rPr>
        <w:t xml:space="preserve">W nawiązaniu do kryterium: </w:t>
      </w:r>
      <w:r w:rsidRPr="00382658">
        <w:rPr>
          <w:rFonts w:ascii="Tahoma" w:eastAsia="Times New Roman" w:hAnsi="Tahoma" w:cs="Tahoma"/>
          <w:b/>
          <w:bCs/>
          <w:i/>
          <w:iCs/>
          <w:lang w:eastAsia="pl-PL"/>
        </w:rPr>
        <w:t xml:space="preserve">Projekt realizowany  w partnerstwie wielosektorowym (społecznym, prywatnym, publicznym). </w:t>
      </w:r>
      <w:r w:rsidRPr="00382658">
        <w:rPr>
          <w:rFonts w:ascii="Tahoma" w:eastAsia="Times New Roman" w:hAnsi="Tahoma" w:cs="Tahoma"/>
          <w:b/>
          <w:bCs/>
          <w:lang w:eastAsia="pl-PL"/>
        </w:rPr>
        <w:t>Jakie organizacje społeczne mogą stanowić w tym naborze definicje Partnera? Zgodnie z regulaminem Partnerem w projekcie mogą być przedsiębiorstwa. Prosimy o przykład jakimi działaniami mogą zajmować się w projekcie prywatni przedsiębiorcy.</w:t>
      </w:r>
    </w:p>
    <w:p w:rsidR="009A6CF7" w:rsidRDefault="009A6CF7" w:rsidP="009A6CF7">
      <w:pPr>
        <w:pStyle w:val="Akapitzlist"/>
      </w:pPr>
    </w:p>
    <w:p w:rsidR="009A6CF7" w:rsidRPr="00382658" w:rsidRDefault="009A6CF7" w:rsidP="009A6CF7">
      <w:pPr>
        <w:spacing w:after="0" w:line="276" w:lineRule="auto"/>
        <w:rPr>
          <w:rFonts w:ascii="Tahoma" w:eastAsia="Calibri" w:hAnsi="Tahoma" w:cs="Tahoma"/>
        </w:rPr>
      </w:pPr>
      <w:r w:rsidRPr="00382658">
        <w:rPr>
          <w:rFonts w:ascii="Tahoma" w:eastAsia="Times New Roman" w:hAnsi="Tahoma" w:cs="Tahoma"/>
          <w:lang w:eastAsia="pl-PL"/>
        </w:rPr>
        <w:t>W ramach ogłoszonego konkursu Wnioskodawca może w projekcie nawiązać partnerstwo, również wielosektorowe</w:t>
      </w:r>
      <w:r w:rsidRPr="00382658">
        <w:rPr>
          <w:rFonts w:ascii="Tahoma" w:eastAsia="Calibri" w:hAnsi="Tahoma" w:cs="Tahoma"/>
        </w:rPr>
        <w:t>.</w:t>
      </w:r>
    </w:p>
    <w:p w:rsidR="009A6CF7" w:rsidRPr="00382658" w:rsidRDefault="009A6CF7" w:rsidP="009A6CF7">
      <w:pPr>
        <w:spacing w:after="0" w:line="276" w:lineRule="auto"/>
        <w:rPr>
          <w:rFonts w:ascii="Tahoma" w:eastAsia="Times New Roman" w:hAnsi="Tahoma" w:cs="Tahoma"/>
          <w:lang w:eastAsia="pl-PL"/>
        </w:rPr>
      </w:pPr>
      <w:r w:rsidRPr="00382658">
        <w:rPr>
          <w:rFonts w:ascii="Tahoma" w:eastAsia="Calibri" w:hAnsi="Tahoma" w:cs="Tahoma"/>
        </w:rPr>
        <w:t xml:space="preserve">Partnerstwo może zostać utworzone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 </w:t>
      </w:r>
      <w:r w:rsidRPr="00382658">
        <w:rPr>
          <w:rFonts w:ascii="Tahoma" w:hAnsi="Tahoma" w:cs="Tahoma"/>
        </w:rPr>
        <w:t>Partner musi uczestniczyć w projekcie partnerskim na każdym jego etapie. Oznacza to wspólne przygotowanie projektu, wspólną realizację zadań merytorycznych oraz wspólne zarządzanie projektem. Udział Partnera w realizacji projektu musi być celowy, jednocześnie nie może mieć charakteru symbolicznego czy pozornego.</w:t>
      </w:r>
    </w:p>
    <w:p w:rsidR="009A6CF7" w:rsidRPr="009A6CF7" w:rsidRDefault="009A6CF7" w:rsidP="009A6CF7">
      <w:pPr>
        <w:rPr>
          <w:rFonts w:ascii="Tahoma" w:eastAsia="Calibri" w:hAnsi="Tahoma" w:cs="Tahoma"/>
          <w:i/>
        </w:rPr>
      </w:pPr>
      <w:r w:rsidRPr="009A6CF7">
        <w:rPr>
          <w:rFonts w:ascii="Tahoma" w:hAnsi="Tahoma" w:cs="Tahoma"/>
        </w:rPr>
        <w:t xml:space="preserve">Dlatego też, Wnioskodawca realizujący projekt w Partnerstwie w celu otrzymania dofinansowania musi bezwzględnie spełnić także min. takie kryteria: </w:t>
      </w:r>
      <w:r w:rsidRPr="009A6CF7">
        <w:rPr>
          <w:rFonts w:ascii="Tahoma" w:eastAsia="Calibri" w:hAnsi="Tahoma" w:cs="Tahoma"/>
          <w:i/>
        </w:rPr>
        <w:t>Zasadność zawarcia partnerstwa w ramach projektu</w:t>
      </w:r>
      <w:r w:rsidRPr="009A6CF7">
        <w:rPr>
          <w:rFonts w:ascii="Tahoma" w:hAnsi="Tahoma" w:cs="Tahoma"/>
        </w:rPr>
        <w:t xml:space="preserve"> czy </w:t>
      </w:r>
      <w:r w:rsidRPr="009A6CF7">
        <w:rPr>
          <w:rFonts w:ascii="Tahoma" w:eastAsia="Calibri" w:hAnsi="Tahoma" w:cs="Tahoma"/>
          <w:i/>
        </w:rPr>
        <w:t>W przypadku projektu partnerskiego spełnione zostały wymogi dotyczące wyboru Partnerów, o których mowa w art. 39 ustawy z dnia 28 kwietnia 2022 r.  o zasadach realizacji zadań finansowanych ze środków europejskich w perspektywie finansowej 2021–2027.</w:t>
      </w:r>
    </w:p>
    <w:p w:rsidR="009A6CF7" w:rsidRDefault="009A6CF7" w:rsidP="009A6CF7">
      <w:pPr>
        <w:spacing w:after="0" w:line="276" w:lineRule="auto"/>
        <w:rPr>
          <w:rFonts w:ascii="Tahoma" w:eastAsia="Times New Roman" w:hAnsi="Tahoma" w:cs="Tahoma"/>
          <w:lang w:eastAsia="pl-PL"/>
        </w:rPr>
      </w:pPr>
      <w:r w:rsidRPr="00382658">
        <w:rPr>
          <w:rFonts w:ascii="Tahoma" w:eastAsia="Times New Roman" w:hAnsi="Tahoma" w:cs="Tahoma"/>
          <w:lang w:eastAsia="pl-PL"/>
        </w:rPr>
        <w:t xml:space="preserve">Dlatego też, wybór partnera projektu musi zależeć od założonych w projekcie celów i sposobu ich osiągnięcia poprzez konkretne zadania. Działania jakimi zajmować się będzie </w:t>
      </w:r>
      <w:r w:rsidRPr="00382658">
        <w:rPr>
          <w:rFonts w:ascii="Tahoma" w:eastAsia="Times New Roman" w:hAnsi="Tahoma" w:cs="Tahoma"/>
          <w:lang w:eastAsia="pl-PL"/>
        </w:rPr>
        <w:lastRenderedPageBreak/>
        <w:t>w projekcie potencjalny partner zależą tylko i wyłącznie od charakteru projektu i sposobu jego realizacji.</w:t>
      </w:r>
    </w:p>
    <w:p w:rsidR="009A6CF7" w:rsidRPr="00FC7314" w:rsidRDefault="009A6CF7" w:rsidP="009A6CF7">
      <w:pPr>
        <w:spacing w:after="0" w:line="276" w:lineRule="auto"/>
        <w:rPr>
          <w:rFonts w:ascii="Tahoma" w:eastAsia="Times New Roman" w:hAnsi="Tahoma" w:cs="Tahoma"/>
          <w:sz w:val="10"/>
          <w:szCs w:val="10"/>
          <w:lang w:eastAsia="pl-PL"/>
        </w:rPr>
      </w:pPr>
    </w:p>
    <w:p w:rsidR="009A6CF7" w:rsidRPr="00382658" w:rsidRDefault="009A6CF7" w:rsidP="009A6CF7">
      <w:pPr>
        <w:pStyle w:val="NormalnyWeb"/>
        <w:spacing w:before="0" w:beforeAutospacing="0" w:after="0" w:afterAutospacing="0" w:line="276" w:lineRule="auto"/>
        <w:rPr>
          <w:rFonts w:ascii="Tahoma" w:hAnsi="Tahoma" w:cs="Tahoma"/>
          <w:sz w:val="22"/>
          <w:szCs w:val="22"/>
        </w:rPr>
      </w:pPr>
      <w:r w:rsidRPr="00382658">
        <w:rPr>
          <w:rFonts w:ascii="Tahoma" w:hAnsi="Tahoma" w:cs="Tahoma"/>
          <w:sz w:val="22"/>
          <w:szCs w:val="22"/>
        </w:rPr>
        <w:t xml:space="preserve">W przypadku projektu partnerskiego każdy partner podobnie jak wnioskodawca musi być podmiotem uprawnionym do otrzymania wsparcia w ramach działania 5.10 </w:t>
      </w:r>
      <w:r w:rsidRPr="00382658">
        <w:rPr>
          <w:rStyle w:val="Uwydatnienie"/>
          <w:rFonts w:ascii="Tahoma" w:hAnsi="Tahoma" w:cs="Tahoma"/>
          <w:sz w:val="22"/>
          <w:szCs w:val="22"/>
        </w:rPr>
        <w:t>Edukacja włączająca.</w:t>
      </w:r>
      <w:r w:rsidRPr="00382658">
        <w:rPr>
          <w:rFonts w:ascii="Tahoma" w:hAnsi="Tahoma" w:cs="Tahoma"/>
          <w:sz w:val="22"/>
          <w:szCs w:val="22"/>
        </w:rPr>
        <w:t xml:space="preserve"> Beneficjent oraz Partner/Partnerzy </w:t>
      </w:r>
      <w:r w:rsidRPr="00382658">
        <w:rPr>
          <w:rFonts w:ascii="Tahoma" w:hAnsi="Tahoma" w:cs="Tahoma"/>
          <w:sz w:val="22"/>
          <w:szCs w:val="22"/>
          <w:u w:val="single"/>
        </w:rPr>
        <w:t>muszą wpisywać się zarówno w typ ogólny jak i w typ szczegółowy Beneficjenta</w:t>
      </w:r>
      <w:r w:rsidRPr="00382658">
        <w:rPr>
          <w:rFonts w:ascii="Tahoma" w:hAnsi="Tahoma" w:cs="Tahoma"/>
          <w:sz w:val="22"/>
          <w:szCs w:val="22"/>
        </w:rPr>
        <w:t>.</w:t>
      </w:r>
    </w:p>
    <w:p w:rsidR="009A6CF7" w:rsidRPr="00FC7314" w:rsidRDefault="009A6CF7" w:rsidP="009A6CF7">
      <w:pPr>
        <w:spacing w:after="0" w:line="276" w:lineRule="auto"/>
        <w:rPr>
          <w:rFonts w:ascii="Tahoma" w:eastAsia="Times New Roman" w:hAnsi="Tahoma" w:cs="Tahoma"/>
          <w:sz w:val="10"/>
          <w:szCs w:val="10"/>
          <w:lang w:eastAsia="pl-PL"/>
        </w:rPr>
      </w:pPr>
    </w:p>
    <w:p w:rsidR="009A6CF7" w:rsidRPr="00C20E28" w:rsidRDefault="009A6CF7" w:rsidP="009A6CF7">
      <w:r w:rsidRPr="009A6CF7">
        <w:rPr>
          <w:rFonts w:ascii="Tahoma" w:eastAsia="Times New Roman" w:hAnsi="Tahoma" w:cs="Tahoma"/>
          <w:lang w:eastAsia="pl-PL"/>
        </w:rPr>
        <w:t>Pragnę jednocześnie podkreślić, że ostateczna ocena projektu pod kątem racjonalności i celowości wyboru Partnera należy do Komisji Oceny Projektów.</w:t>
      </w:r>
    </w:p>
    <w:p w:rsidR="00C20E28" w:rsidRPr="00C4502A" w:rsidRDefault="009A6CF7" w:rsidP="00C20E28">
      <w:pPr>
        <w:pStyle w:val="Akapitzlist"/>
        <w:numPr>
          <w:ilvl w:val="0"/>
          <w:numId w:val="1"/>
        </w:numPr>
      </w:pPr>
      <w:r w:rsidRPr="00382658">
        <w:rPr>
          <w:rFonts w:ascii="Tahoma" w:hAnsi="Tahoma" w:cs="Tahoma"/>
          <w:b/>
          <w:bCs/>
        </w:rPr>
        <w:t xml:space="preserve">W nawiązaniu do kryterium: </w:t>
      </w:r>
      <w:r w:rsidRPr="00382658">
        <w:rPr>
          <w:rFonts w:ascii="Tahoma" w:hAnsi="Tahoma" w:cs="Tahoma"/>
          <w:b/>
          <w:bCs/>
          <w:i/>
          <w:iCs/>
        </w:rPr>
        <w:t xml:space="preserve">Projekt zakłada partnerstwo/współpracę OWP/szkół/placówek ogólnodostępnych oraz OWP/ szkół /placówek specjalnych w celu realizacji działań na rzecz edukacji włączającej. </w:t>
      </w:r>
      <w:r w:rsidRPr="00382658">
        <w:rPr>
          <w:rFonts w:ascii="Tahoma" w:hAnsi="Tahoma" w:cs="Tahoma"/>
          <w:b/>
          <w:bCs/>
        </w:rPr>
        <w:t>W jaki sposób potwierdzić można zawarcie współpracy z daną placówką? Kwestia Partnerstwa musi przebiegać zgodnie z  art. 39 ustawy z dnia 28 kwietnia 2022 r.  o zasadach realizacji zadań finansowanych ze środków europejskich w perspektywie finansowej 2021–2027. Czy kryterium dotyczy tylko wybrania Partnera (poprzez ogłoszenie i otwarty nabór) czy możliwe jest także nawiązanie współpracy z dowolnym podmiotem – jeśli tak to na jakich zasadach?</w:t>
      </w:r>
    </w:p>
    <w:p w:rsidR="00C4502A" w:rsidRPr="00382658" w:rsidRDefault="00C4502A" w:rsidP="00C4502A">
      <w:pPr>
        <w:pStyle w:val="Default"/>
        <w:spacing w:line="276" w:lineRule="auto"/>
        <w:rPr>
          <w:rFonts w:ascii="Tahoma" w:hAnsi="Tahoma" w:cs="Tahoma"/>
          <w:sz w:val="22"/>
          <w:szCs w:val="22"/>
        </w:rPr>
      </w:pPr>
      <w:r w:rsidRPr="00382658">
        <w:rPr>
          <w:rFonts w:ascii="Tahoma" w:hAnsi="Tahoma" w:cs="Tahoma"/>
          <w:sz w:val="22"/>
          <w:szCs w:val="22"/>
        </w:rPr>
        <w:t xml:space="preserve">Zgodnie z kryterium pn. </w:t>
      </w:r>
      <w:r w:rsidRPr="00382658">
        <w:rPr>
          <w:rFonts w:ascii="Tahoma" w:hAnsi="Tahoma" w:cs="Tahoma"/>
          <w:i/>
          <w:iCs/>
          <w:sz w:val="22"/>
          <w:szCs w:val="22"/>
        </w:rPr>
        <w:t>Projekt zakłada partnerstwo/współpracę OWP/szkół/placówek ogólnodostępnych oraz OWP/ szkół /placówek specjalnych w celu realizacji działań na rzecz edukacji włączającej</w:t>
      </w:r>
      <w:r w:rsidRPr="00382658">
        <w:rPr>
          <w:rFonts w:ascii="Tahoma" w:hAnsi="Tahoma" w:cs="Tahoma"/>
          <w:sz w:val="22"/>
          <w:szCs w:val="22"/>
        </w:rPr>
        <w:t xml:space="preserve"> premiowane będą projekty zakładające współpracę </w:t>
      </w:r>
      <w:r w:rsidRPr="00382658">
        <w:rPr>
          <w:rFonts w:ascii="Tahoma" w:hAnsi="Tahoma" w:cs="Tahoma"/>
          <w:sz w:val="22"/>
          <w:szCs w:val="22"/>
          <w:u w:val="single"/>
        </w:rPr>
        <w:t>lub</w:t>
      </w:r>
      <w:r w:rsidRPr="00382658">
        <w:rPr>
          <w:rFonts w:ascii="Tahoma" w:hAnsi="Tahoma" w:cs="Tahoma"/>
          <w:sz w:val="22"/>
          <w:szCs w:val="22"/>
        </w:rPr>
        <w:t xml:space="preserve"> sformalizowane</w:t>
      </w:r>
      <w:r w:rsidRPr="00382658">
        <w:rPr>
          <w:rFonts w:ascii="Tahoma" w:hAnsi="Tahoma" w:cs="Tahoma"/>
          <w:sz w:val="22"/>
          <w:szCs w:val="22"/>
          <w:u w:val="single"/>
        </w:rPr>
        <w:t xml:space="preserve"> </w:t>
      </w:r>
      <w:r w:rsidRPr="00382658">
        <w:rPr>
          <w:rFonts w:ascii="Tahoma" w:hAnsi="Tahoma" w:cs="Tahoma"/>
          <w:sz w:val="22"/>
          <w:szCs w:val="22"/>
        </w:rPr>
        <w:t xml:space="preserve">partnerstwo tych OWP/szkół i placówek celem integracji uczniów, nauczycieli i rodziców, inkluzji i wymiany doświadczeń w prowadzeniu skutecznej edukacji włączającej. Współpraca, o której mowa musi uwzględniać zaangażowanie rodziców/opiekunów dzieci/uczniów i może obejmować np. spotkania indywidualne, grupowe, warsztaty. </w:t>
      </w:r>
    </w:p>
    <w:p w:rsidR="00C4502A" w:rsidRPr="00382658" w:rsidRDefault="00C4502A" w:rsidP="00C4502A">
      <w:pPr>
        <w:pStyle w:val="Default"/>
        <w:spacing w:line="276" w:lineRule="auto"/>
        <w:rPr>
          <w:rFonts w:ascii="Tahoma" w:hAnsi="Tahoma" w:cs="Tahoma"/>
          <w:sz w:val="22"/>
          <w:szCs w:val="22"/>
        </w:rPr>
      </w:pPr>
      <w:r w:rsidRPr="00382658">
        <w:rPr>
          <w:rFonts w:ascii="Tahoma" w:hAnsi="Tahoma" w:cs="Tahoma"/>
          <w:sz w:val="22"/>
          <w:szCs w:val="22"/>
        </w:rPr>
        <w:t>Wsparcie dzieci/uczniów OWP/szkół/placówek specjalnych i ich otoczenia (rodziców oraz nauczycieli) jest możliwe przy spełnieniu następujących warunków:</w:t>
      </w:r>
    </w:p>
    <w:p w:rsidR="00C4502A" w:rsidRPr="00382658" w:rsidRDefault="00C4502A" w:rsidP="00C4502A">
      <w:pPr>
        <w:pStyle w:val="Default"/>
        <w:numPr>
          <w:ilvl w:val="0"/>
          <w:numId w:val="4"/>
        </w:numPr>
        <w:spacing w:line="276" w:lineRule="auto"/>
        <w:ind w:left="278" w:hanging="278"/>
        <w:rPr>
          <w:rFonts w:ascii="Tahoma" w:hAnsi="Tahoma" w:cs="Tahoma"/>
          <w:sz w:val="22"/>
          <w:szCs w:val="22"/>
        </w:rPr>
      </w:pPr>
      <w:r w:rsidRPr="00382658">
        <w:rPr>
          <w:rFonts w:ascii="Tahoma" w:hAnsi="Tahoma" w:cs="Tahoma"/>
          <w:sz w:val="22"/>
          <w:szCs w:val="22"/>
        </w:rPr>
        <w:t>zajęcia dla uczniów, rodziców i nauczycieli OWP/szkół/placówek specjalnych ukierunkowane będą na przygotowanie dzieci do przejścia do OWP/szkoły/placówki ogólnodostępnej, np. zajęcia z logopedą, psychologiem, jak również studia podyplomowe i kursy dla nauczycieli z zakresu pedagogiki specjalnej, w tym oligofrenopedagogiki, surdopedagogiki czy logopedii;</w:t>
      </w:r>
    </w:p>
    <w:p w:rsidR="00C4502A" w:rsidRPr="00382658" w:rsidRDefault="00C4502A" w:rsidP="00C4502A">
      <w:pPr>
        <w:pStyle w:val="Default"/>
        <w:numPr>
          <w:ilvl w:val="0"/>
          <w:numId w:val="4"/>
        </w:numPr>
        <w:spacing w:line="276" w:lineRule="auto"/>
        <w:ind w:left="278" w:hanging="278"/>
        <w:rPr>
          <w:rFonts w:ascii="Tahoma" w:hAnsi="Tahoma" w:cs="Tahoma"/>
          <w:sz w:val="22"/>
          <w:szCs w:val="22"/>
        </w:rPr>
      </w:pPr>
      <w:r w:rsidRPr="00382658">
        <w:rPr>
          <w:rFonts w:ascii="Tahoma" w:hAnsi="Tahoma" w:cs="Tahoma"/>
          <w:sz w:val="22"/>
          <w:szCs w:val="22"/>
        </w:rPr>
        <w:t>w przypadku objęcia wsparciem uczniów, rodziców oraz nauczycieli OWP/szkół/placówek specjalnych, elementem projektu będą zajęcia integracyjne z uczniami, rodzicami i nauczycielami szkół ogólnodostępnych celem integracji, wymiany doświadczeń i inkluzji.</w:t>
      </w:r>
    </w:p>
    <w:p w:rsidR="00C4502A" w:rsidRPr="00E022CD" w:rsidRDefault="00C4502A" w:rsidP="00C4502A">
      <w:pPr>
        <w:pStyle w:val="Default"/>
        <w:spacing w:line="276" w:lineRule="auto"/>
        <w:rPr>
          <w:rFonts w:ascii="Tahoma" w:hAnsi="Tahoma" w:cs="Tahoma"/>
          <w:sz w:val="10"/>
          <w:szCs w:val="10"/>
        </w:rPr>
      </w:pPr>
    </w:p>
    <w:p w:rsidR="00C4502A" w:rsidRPr="00382658" w:rsidRDefault="00C4502A" w:rsidP="00C4502A">
      <w:pPr>
        <w:pStyle w:val="Default"/>
        <w:spacing w:line="276" w:lineRule="auto"/>
        <w:rPr>
          <w:rFonts w:ascii="Tahoma" w:hAnsi="Tahoma" w:cs="Tahoma"/>
          <w:sz w:val="22"/>
          <w:szCs w:val="22"/>
        </w:rPr>
      </w:pPr>
      <w:r w:rsidRPr="00382658">
        <w:rPr>
          <w:rFonts w:ascii="Tahoma" w:hAnsi="Tahoma" w:cs="Tahoma"/>
          <w:sz w:val="22"/>
          <w:szCs w:val="22"/>
        </w:rPr>
        <w:t xml:space="preserve">Warunkiem spełnienia kryterium na etapie oceny projektu jest ujęcie we wniosku o dofinansowanie zapisów wskazujących na podjęcie współpracy/ partnerstwa w zakresie opisanym powyżej. Instytucja Organizująca Nabór nie określiła sposobu potwierdzenia </w:t>
      </w:r>
      <w:r w:rsidRPr="00FC7314">
        <w:rPr>
          <w:rFonts w:ascii="Tahoma" w:hAnsi="Tahoma" w:cs="Tahoma"/>
          <w:sz w:val="22"/>
          <w:szCs w:val="22"/>
          <w:u w:val="single"/>
        </w:rPr>
        <w:t>współpracy</w:t>
      </w:r>
      <w:r w:rsidRPr="00382658">
        <w:rPr>
          <w:rFonts w:ascii="Tahoma" w:hAnsi="Tahoma" w:cs="Tahoma"/>
          <w:sz w:val="22"/>
          <w:szCs w:val="22"/>
        </w:rPr>
        <w:t xml:space="preserve"> między placówkami. Wnioskodawca powinien we wniosku o dofinansowanie ująć zapisy wskazujące na podjęcie współpracy i posiadać dokumenty źródłowe potwierdzające ten fakt.</w:t>
      </w:r>
    </w:p>
    <w:p w:rsidR="00C4502A" w:rsidRPr="00E022CD" w:rsidRDefault="00C4502A" w:rsidP="00C4502A">
      <w:pPr>
        <w:pStyle w:val="Default"/>
        <w:spacing w:line="276" w:lineRule="auto"/>
        <w:rPr>
          <w:rFonts w:ascii="Tahoma" w:hAnsi="Tahoma" w:cs="Tahoma"/>
          <w:sz w:val="10"/>
          <w:szCs w:val="10"/>
        </w:rPr>
      </w:pPr>
    </w:p>
    <w:p w:rsidR="00C4502A" w:rsidRDefault="00C4502A" w:rsidP="00C4502A">
      <w:pPr>
        <w:spacing w:after="0" w:line="276" w:lineRule="auto"/>
        <w:rPr>
          <w:rFonts w:ascii="Tahoma" w:eastAsia="Calibri" w:hAnsi="Tahoma" w:cs="Tahoma"/>
        </w:rPr>
      </w:pPr>
      <w:r w:rsidRPr="00382658">
        <w:rPr>
          <w:rFonts w:ascii="Tahoma" w:eastAsia="Calibri" w:hAnsi="Tahoma" w:cs="Tahoma"/>
        </w:rPr>
        <w:t xml:space="preserve">W sytuacji kiedy projekt realizowany jest w partnerstwie Wnioskodawca zobligowany jest spełniać wymogi utworzenia partnerstwa wskazane w art. 39 ustawy o zasadach realizacji </w:t>
      </w:r>
      <w:r w:rsidRPr="00382658">
        <w:rPr>
          <w:rFonts w:ascii="Tahoma" w:eastAsia="Calibri" w:hAnsi="Tahoma" w:cs="Tahoma"/>
        </w:rPr>
        <w:lastRenderedPageBreak/>
        <w:t>zadań finansowanych ze środków europejskich w perspektywie finansowej 2021–2027 na etapie złożenia wniosku o dofinansowanie. 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rsidR="00C4502A" w:rsidRPr="00FC7314" w:rsidRDefault="00C4502A" w:rsidP="00C4502A">
      <w:pPr>
        <w:spacing w:after="0" w:line="276" w:lineRule="auto"/>
        <w:rPr>
          <w:rFonts w:ascii="Tahoma" w:eastAsia="Calibri" w:hAnsi="Tahoma" w:cs="Tahoma"/>
          <w:sz w:val="10"/>
          <w:szCs w:val="10"/>
        </w:rPr>
      </w:pPr>
    </w:p>
    <w:p w:rsidR="00C4502A" w:rsidRDefault="00C4502A" w:rsidP="00C4502A">
      <w:pPr>
        <w:pStyle w:val="NormalnyWeb"/>
        <w:spacing w:before="0" w:beforeAutospacing="0" w:after="0" w:afterAutospacing="0" w:line="276" w:lineRule="auto"/>
        <w:rPr>
          <w:rFonts w:ascii="Tahoma" w:hAnsi="Tahoma" w:cs="Tahoma"/>
          <w:sz w:val="22"/>
          <w:szCs w:val="22"/>
        </w:rPr>
      </w:pPr>
      <w:r w:rsidRPr="00382658">
        <w:rPr>
          <w:rFonts w:ascii="Tahoma" w:hAnsi="Tahoma" w:cs="Tahoma"/>
          <w:sz w:val="22"/>
          <w:szCs w:val="22"/>
        </w:rPr>
        <w:t xml:space="preserve">W przypadku projektu partnerskiego każdy partner podobnie jak wnioskodawca musi być podmiotem uprawnionym do otrzymania wsparcia w ramach działania 5.10 </w:t>
      </w:r>
      <w:r w:rsidRPr="00382658">
        <w:rPr>
          <w:rStyle w:val="Uwydatnienie"/>
          <w:rFonts w:ascii="Tahoma" w:hAnsi="Tahoma" w:cs="Tahoma"/>
          <w:sz w:val="22"/>
          <w:szCs w:val="22"/>
        </w:rPr>
        <w:t>Edukacja włączająca.</w:t>
      </w:r>
      <w:r w:rsidRPr="00382658">
        <w:rPr>
          <w:rFonts w:ascii="Tahoma" w:hAnsi="Tahoma" w:cs="Tahoma"/>
          <w:sz w:val="22"/>
          <w:szCs w:val="22"/>
        </w:rPr>
        <w:t xml:space="preserve"> Beneficjent oraz Partner/Partnerzy </w:t>
      </w:r>
      <w:r w:rsidRPr="00382658">
        <w:rPr>
          <w:rFonts w:ascii="Tahoma" w:hAnsi="Tahoma" w:cs="Tahoma"/>
          <w:sz w:val="22"/>
          <w:szCs w:val="22"/>
          <w:u w:val="single"/>
        </w:rPr>
        <w:t>muszą wpisywać się zarówno w typ ogólny jak i w typ szczegółowy Beneficjenta</w:t>
      </w:r>
      <w:r w:rsidRPr="00382658">
        <w:rPr>
          <w:rFonts w:ascii="Tahoma" w:hAnsi="Tahoma" w:cs="Tahoma"/>
          <w:sz w:val="22"/>
          <w:szCs w:val="22"/>
        </w:rPr>
        <w:t>.</w:t>
      </w:r>
    </w:p>
    <w:p w:rsidR="00C4502A" w:rsidRPr="00FC7314" w:rsidRDefault="00C4502A" w:rsidP="00C4502A">
      <w:pPr>
        <w:pStyle w:val="NormalnyWeb"/>
        <w:spacing w:before="0" w:beforeAutospacing="0" w:after="0" w:afterAutospacing="0" w:line="276" w:lineRule="auto"/>
        <w:rPr>
          <w:rFonts w:ascii="Tahoma" w:hAnsi="Tahoma" w:cs="Tahoma"/>
          <w:sz w:val="10"/>
          <w:szCs w:val="10"/>
        </w:rPr>
      </w:pPr>
    </w:p>
    <w:p w:rsidR="00C4502A" w:rsidRPr="009A6CF7" w:rsidRDefault="00C4502A" w:rsidP="00C4502A">
      <w:r w:rsidRPr="00382658">
        <w:rPr>
          <w:rFonts w:ascii="Tahoma" w:eastAsia="Times New Roman" w:hAnsi="Tahoma" w:cs="Tahoma"/>
          <w:lang w:eastAsia="pl-PL"/>
        </w:rPr>
        <w:t>Wybór partnera/ podmiotu do współpracy projektu musi zależeć od założonych w projekcie celów i sposobu ich osiągnięcia poprzez konkretne zadania. Działania jakimi zajmować się będzie w projekcie potencjalny partner zależą tylko i wyłącznie od charakteru projektu i sposobu jego realizacji.</w:t>
      </w:r>
    </w:p>
    <w:p w:rsidR="009A6CF7" w:rsidRPr="00C4502A" w:rsidRDefault="009A6CF7" w:rsidP="00C20E28">
      <w:pPr>
        <w:pStyle w:val="Akapitzlist"/>
        <w:numPr>
          <w:ilvl w:val="0"/>
          <w:numId w:val="1"/>
        </w:numPr>
      </w:pPr>
      <w:r w:rsidRPr="00325AE1">
        <w:rPr>
          <w:rFonts w:ascii="Tahoma" w:hAnsi="Tahoma" w:cs="Tahoma"/>
          <w:b/>
        </w:rPr>
        <w:t>Proszę o potwierdzenie, że jeśli wnioskodawca wyłoni partnera w postaci stowarzyszenia, będącego organem prowadzącym dla szkoły, to w ramach jednego wniosku wsparciem możemy objąć również szkołę prowadzoną przez partnera i zaplanować formy wsparcia przewidziane w projekcie (m.in. organizacja zajęć, zakup pomocy, wyposażenie).</w:t>
      </w:r>
    </w:p>
    <w:p w:rsidR="00C4502A" w:rsidRPr="003901A6" w:rsidRDefault="00C4502A" w:rsidP="00C4502A">
      <w:pPr>
        <w:rPr>
          <w:rFonts w:ascii="Tahoma" w:hAnsi="Tahoma" w:cs="Tahoma"/>
        </w:rPr>
      </w:pPr>
      <w:r w:rsidRPr="003901A6">
        <w:rPr>
          <w:rFonts w:ascii="Tahoma" w:hAnsi="Tahoma" w:cs="Tahoma"/>
        </w:rPr>
        <w:t>Regulamin wyboru projektów dotyczący projektów złożonych w ramach postępowania konkurencyjnego dla działania 5.10 Edukacja włączająca, priorytetu 5 Fundusze Europejskie wspierające opolski rynek pracy i edukację programu regionalnego FEO 2021-2027 nie wyklucza możliwości objęcia wsparciem (w ramach jednego projektu) szkoły, której organem prowadzącym jest Beneficjent, jak również szkoły, której organem prowadzącym jest podmiot będący partnerem w danym projekcie, jednakże formy wsparcia zaplanowane do realizacji w ramach projektu muszą wynikać z indywidualnie zdiagnozowanego zapotrzebowania każdej ze szkół. Zaznaczam, że w takim wypadku diagnoza powinna być przygotowana i przeprowadzona przez każdą ze szkół objętych wsparciem lub organ prowadzący lub inny podmiot prowadzący działalność o charakterze edukacyjnym lub badawczym oraz zatwierdzona przez organ prowadzący bądź osobę upoważnioną do podejmowania decyzji. Przez organ prowadzący rozumie się ministra właściwego, jednostkę samorządu terytorialnego, osobę prawną niebędącą jednostką samorządu terytorialnego oraz osobę fizyczną, odpowiedzialną za działalność OWP, szkoły lub placówki systemu oświaty.</w:t>
      </w:r>
      <w:r w:rsidRPr="003901A6">
        <w:rPr>
          <w:rFonts w:ascii="Tahoma" w:hAnsi="Tahoma" w:cs="Tahoma"/>
          <w:color w:val="000000"/>
        </w:rPr>
        <w:t xml:space="preserve"> </w:t>
      </w:r>
      <w:r w:rsidRPr="003901A6">
        <w:rPr>
          <w:rFonts w:ascii="Tahoma" w:hAnsi="Tahoma" w:cs="Tahoma"/>
        </w:rPr>
        <w:t xml:space="preserve">Wnioskodawca zobowiązany jest do ujęcia we wniosku o dofinansowanie wyników z przeprowadzonych diagnoz oraz do  zamieszczenia  informacji, że zostały one zatwierdzone przez organ prowadzący bądź osobę upoważnioną do podejmowania decyzji. </w:t>
      </w:r>
    </w:p>
    <w:p w:rsidR="00C4502A" w:rsidRPr="003901A6" w:rsidRDefault="00C4502A" w:rsidP="00C4502A">
      <w:pPr>
        <w:rPr>
          <w:rFonts w:ascii="Tahoma" w:hAnsi="Tahoma" w:cs="Tahoma"/>
        </w:rPr>
      </w:pPr>
      <w:r w:rsidRPr="003901A6">
        <w:rPr>
          <w:rFonts w:ascii="Tahoma" w:hAnsi="Tahoma" w:cs="Tahoma"/>
        </w:rPr>
        <w:t>W przypadku projektu zakładającego partnerstwo/współpracę OWP/szkół/placówek ogólnodostępnych oraz OWP/ szkół /placówek specjalnych w celu realizacji działań na rzecz edukacji włączającej (4 k</w:t>
      </w:r>
      <w:r w:rsidRPr="003901A6">
        <w:rPr>
          <w:rFonts w:ascii="Tahoma" w:eastAsia="Calibri" w:hAnsi="Tahoma" w:cs="Tahoma"/>
          <w:bCs/>
        </w:rPr>
        <w:t>ryterium merytoryczne szczegółowe punktowane)</w:t>
      </w:r>
      <w:r w:rsidRPr="003901A6">
        <w:rPr>
          <w:rFonts w:ascii="Tahoma" w:hAnsi="Tahoma" w:cs="Tahoma"/>
        </w:rPr>
        <w:t xml:space="preserve"> wsparcie dzieci/uczniów OWP/szkół/placówek specjalnych i ich otoczenia (rodziców oraz nauczycieli) jest możliwe przy spełnieniu następujących warunków:</w:t>
      </w:r>
    </w:p>
    <w:p w:rsidR="00C4502A" w:rsidRPr="003901A6" w:rsidRDefault="00C4502A" w:rsidP="00C4502A">
      <w:pPr>
        <w:numPr>
          <w:ilvl w:val="0"/>
          <w:numId w:val="4"/>
        </w:numPr>
        <w:spacing w:after="200" w:line="276" w:lineRule="auto"/>
        <w:rPr>
          <w:rFonts w:ascii="Tahoma" w:hAnsi="Tahoma" w:cs="Tahoma"/>
        </w:rPr>
      </w:pPr>
      <w:r w:rsidRPr="003901A6">
        <w:rPr>
          <w:rFonts w:ascii="Tahoma" w:hAnsi="Tahoma" w:cs="Tahoma"/>
        </w:rPr>
        <w:lastRenderedPageBreak/>
        <w:t>zajęcia dla uczniów, rodziców i nauczycieli OWP/szkół/placówek specjalnych ukierunkowane będą na przygotowanie dzieci do przejścia do OWP/szkoły/placówki ogólnodostępnej, np. zajęcia z logopedą, psychologiem, jak również studia podyplomowe i kursy dla nauczycieli z zakresu pedagogiki specjalnej, w tym oligofrenopedagogiki, surdopedagogiki czy logopedii;</w:t>
      </w:r>
    </w:p>
    <w:p w:rsidR="00C4502A" w:rsidRPr="003901A6" w:rsidRDefault="00C4502A" w:rsidP="00C4502A">
      <w:pPr>
        <w:numPr>
          <w:ilvl w:val="0"/>
          <w:numId w:val="4"/>
        </w:numPr>
        <w:spacing w:after="200" w:line="276" w:lineRule="auto"/>
        <w:rPr>
          <w:rFonts w:ascii="Tahoma" w:hAnsi="Tahoma" w:cs="Tahoma"/>
        </w:rPr>
      </w:pPr>
      <w:r w:rsidRPr="003901A6">
        <w:rPr>
          <w:rFonts w:ascii="Tahoma" w:hAnsi="Tahoma" w:cs="Tahoma"/>
        </w:rPr>
        <w:t>w przypadku objęcia wsparciem uczniów, rodziców oraz nauczycieli OWP/szkół/placówek specjalnych, elementem projektu będą zajęcia integracyjne z uczniami, rodzicami i nauczycielami szkół ogólnodostępnych celem integracji, wymiany doświadczeń i inkluzji.</w:t>
      </w:r>
    </w:p>
    <w:p w:rsidR="00C4502A" w:rsidRPr="009A6CF7" w:rsidRDefault="00C4502A" w:rsidP="00C4502A">
      <w:r w:rsidRPr="003901A6">
        <w:rPr>
          <w:rFonts w:ascii="Tahoma" w:hAnsi="Tahoma" w:cs="Tahoma"/>
          <w:u w:val="single"/>
        </w:rPr>
        <w:t>Zaznaczam, że zasadność zawarcia partnerstwa</w:t>
      </w:r>
      <w:r w:rsidRPr="003901A6">
        <w:rPr>
          <w:rFonts w:ascii="Tahoma" w:eastAsia="Calibri" w:hAnsi="Tahoma" w:cs="Tahoma"/>
          <w:u w:val="single"/>
        </w:rPr>
        <w:t xml:space="preserve"> </w:t>
      </w:r>
      <w:r w:rsidRPr="003901A6">
        <w:rPr>
          <w:rFonts w:ascii="Tahoma" w:hAnsi="Tahoma" w:cs="Tahoma"/>
          <w:u w:val="single"/>
        </w:rPr>
        <w:t>w ramach projektu oraz kwalifikowalność wydatków projektu będzie przedmiotem oceny Komisji Oceny Projektów.</w:t>
      </w:r>
    </w:p>
    <w:p w:rsidR="00C4502A" w:rsidRPr="00C4502A" w:rsidRDefault="009A6CF7" w:rsidP="00C4502A">
      <w:pPr>
        <w:pStyle w:val="Akapitzlist"/>
        <w:numPr>
          <w:ilvl w:val="0"/>
          <w:numId w:val="1"/>
        </w:numPr>
      </w:pPr>
      <w:r w:rsidRPr="00325AE1">
        <w:rPr>
          <w:rFonts w:ascii="Tahoma" w:hAnsi="Tahoma" w:cs="Tahoma"/>
          <w:b/>
        </w:rPr>
        <w:t>Czy w przypadku ujęcia w projekcie wsparcia z zakresu wykorzystania rozwiązań wypracowanych w ramach konkursu „Przestrzeń Dostępnej Szkoły” należy przeprowadzić audyt dostępności architektonicznej obiektu? Jeśli tak, to czy należy przeprowadzić go przez złożeniem wniosku o dofinansowanie? Czy koszt audytu stanowi wydatek kwalifikowalny w projekcie?</w:t>
      </w:r>
    </w:p>
    <w:p w:rsidR="00C4502A" w:rsidRPr="00C4502A" w:rsidRDefault="00C4502A" w:rsidP="00C4502A">
      <w:pPr>
        <w:rPr>
          <w:rFonts w:ascii="Tahoma" w:hAnsi="Tahoma" w:cs="Tahoma"/>
        </w:rPr>
      </w:pPr>
      <w:r w:rsidRPr="00C4502A">
        <w:rPr>
          <w:rFonts w:ascii="Tahoma" w:hAnsi="Tahoma" w:cs="Tahoma"/>
        </w:rPr>
        <w:t xml:space="preserve">Rozwiązaniem wypracowanym w ramach konkursu „Przestrzeń Dostępnej Szkoły” jest Model Dostępnej Szkoły (MDS). Celem wdrożenia MDS jest poprawa dostępności szkół podstawowych poprzez eliminowanie istniejących barier we wszystkich działaniach przez nie podejmowanych, zarówno w zakresie dostępności infrastruktury budynków, jak i realizowanych przez szkołę funkcji dydaktycznych, rozwijających, opiekuńczych oraz wychowawczych, a także przeciwdziałanie powstawaniu kolejnych. </w:t>
      </w:r>
    </w:p>
    <w:p w:rsidR="00C4502A" w:rsidRPr="00C4502A" w:rsidRDefault="00C4502A" w:rsidP="00C4502A">
      <w:pPr>
        <w:rPr>
          <w:rFonts w:ascii="Tahoma" w:hAnsi="Tahoma" w:cs="Tahoma"/>
        </w:rPr>
      </w:pPr>
      <w:r w:rsidRPr="00C4502A">
        <w:rPr>
          <w:rFonts w:ascii="Tahoma" w:hAnsi="Tahoma" w:cs="Tahoma"/>
        </w:rPr>
        <w:t xml:space="preserve">Na MDS składają się dwa standardy: standard dostępności architektonicznej oraz standard dostępności edukacyjno-społecznej. Standardy te podzielone są na obszary, obejmujące wytyczne, których spełnienie jest niezbędne dla osiągnięcia przez szkołę dostępności. </w:t>
      </w:r>
    </w:p>
    <w:p w:rsidR="00C4502A" w:rsidRPr="00C4502A" w:rsidRDefault="00C4502A" w:rsidP="00C4502A">
      <w:pPr>
        <w:rPr>
          <w:rFonts w:ascii="Tahoma" w:hAnsi="Tahoma" w:cs="Tahoma"/>
        </w:rPr>
      </w:pPr>
      <w:r w:rsidRPr="00C4502A">
        <w:rPr>
          <w:rFonts w:ascii="Tahoma" w:hAnsi="Tahoma" w:cs="Tahoma"/>
        </w:rPr>
        <w:t xml:space="preserve">Chcąc wykorzystać w projekcie rozwiązania wypracowane w ramach standardu dostępności architektonicznej w budynkach istniejących/w ramach MDS należy przeprowadzić audyt dostępności, który jest narzędziem służącym do identyfikacji występujących barier. </w:t>
      </w:r>
    </w:p>
    <w:p w:rsidR="00C4502A" w:rsidRPr="00C4502A" w:rsidRDefault="00C4502A" w:rsidP="00C4502A">
      <w:pPr>
        <w:rPr>
          <w:rFonts w:ascii="Tahoma" w:hAnsi="Tahoma" w:cs="Tahoma"/>
        </w:rPr>
      </w:pPr>
      <w:r w:rsidRPr="00C4502A">
        <w:rPr>
          <w:rFonts w:ascii="Tahoma" w:hAnsi="Tahoma" w:cs="Tahoma"/>
        </w:rPr>
        <w:t>Raport z audytu zawierać powinien diagnozę stanu istniejącego, czyli wynik inwentaryzacji przeprowadzonej w obiekcie, oraz rekomendacje w zakresie poprawy parametrów. Powinien także wskazywać, które z parametrów MDS są już spełnione, a które wymagają zmiany. Audyt dostępności powinien zostać przeprowadzony przez osoby/podmioty posiadające odpowiednie kwalifikacje, kompetencje i doświadczenie w zakresie wdrażania standardów dostępności, np. organizacje pozarządowe działające w obszarze dostępności, oraz uwzględniać perspektywę użytkowników końcowych rozwiązań – osób ze szczególnymi potrzebami. Jedną z możliwości jest zaangażowanie do realizacji tego działania podmiotów dokonujących certyfikacji znajdujących się w wykazie prowadzonym zgodnie z art. 17 ustawy o zapewnianiu dostępności osobom ze szczególnymi potrzebami przez ministra ds. rozwoju regionalnego</w:t>
      </w:r>
      <w:r w:rsidR="00C659AD" w:rsidRPr="003901A6">
        <w:rPr>
          <w:rStyle w:val="Odwoanieprzypisudolnego"/>
          <w:rFonts w:ascii="Tahoma" w:hAnsi="Tahoma" w:cs="Tahoma"/>
          <w:color w:val="000000"/>
        </w:rPr>
        <w:footnoteReference w:id="1"/>
      </w:r>
      <w:bookmarkStart w:id="0" w:name="_GoBack"/>
      <w:bookmarkEnd w:id="0"/>
      <w:r w:rsidRPr="00C4502A">
        <w:rPr>
          <w:rFonts w:ascii="Tahoma" w:hAnsi="Tahoma" w:cs="Tahoma"/>
        </w:rPr>
        <w:t xml:space="preserve">.  </w:t>
      </w:r>
    </w:p>
    <w:p w:rsidR="00C4502A" w:rsidRPr="00C4502A" w:rsidRDefault="00C4502A" w:rsidP="00C4502A">
      <w:pPr>
        <w:rPr>
          <w:rFonts w:ascii="Tahoma" w:hAnsi="Tahoma" w:cs="Tahoma"/>
        </w:rPr>
      </w:pPr>
      <w:r w:rsidRPr="00C4502A">
        <w:rPr>
          <w:rFonts w:ascii="Tahoma" w:hAnsi="Tahoma" w:cs="Tahoma"/>
        </w:rPr>
        <w:lastRenderedPageBreak/>
        <w:t xml:space="preserve">Na podstawie wyników audytu dostępności, w oparciu o założenia przedstawione w MDS, należy opracować Indywidualny Plan Poprawy Dostępności (IPPD). Jest to dokument stanowiący narzędzie pomocne w procesie dochodzenia do dostępności, albowiem pomaga usystematyzować planowane działania. W IPPD należy wskazać standardy i obszary, których zalecenia szkoła/placówka ma zamiar spełnić, uwzględniając potrzeby i specyfikę szkoły/placówki oraz organu prowadzącego. IPPD powinien obejmować również harmonogram, szacunkowe koszty wdrożenia planowanych działań, a także zidentyfikowane i potrzebne zasoby (w tym rozwiązania zaproponowane w audycie). IPPD może być rozpisany na kilka, kilkanaście miesięcy lub nawet kilka lat, uwzględniając m.in. możliwości budżetowe organu prowadzącego. </w:t>
      </w:r>
    </w:p>
    <w:p w:rsidR="00C4502A" w:rsidRPr="00C4502A" w:rsidRDefault="00C4502A" w:rsidP="00C4502A">
      <w:pPr>
        <w:rPr>
          <w:rFonts w:ascii="Tahoma" w:hAnsi="Tahoma" w:cs="Tahoma"/>
        </w:rPr>
      </w:pPr>
      <w:r w:rsidRPr="00C4502A">
        <w:rPr>
          <w:rFonts w:ascii="Tahoma" w:hAnsi="Tahoma" w:cs="Tahoma"/>
        </w:rPr>
        <w:t xml:space="preserve">Bazując na IPPD wnioskodawca, we wniosku o dofinansowanie, powinien wskazać który standard, obszar oraz zalecenia szkoła/placówka zamierza spełnić w trakcie realizacji projektu, jak również wykazać harmonogram prac oraz szacunkowe koszty z tym związane. </w:t>
      </w:r>
    </w:p>
    <w:p w:rsidR="00C4502A" w:rsidRPr="00C4502A" w:rsidRDefault="00C4502A" w:rsidP="00C4502A">
      <w:pPr>
        <w:rPr>
          <w:rFonts w:ascii="Tahoma" w:hAnsi="Tahoma" w:cs="Tahoma"/>
        </w:rPr>
      </w:pPr>
      <w:r w:rsidRPr="00C4502A">
        <w:rPr>
          <w:rFonts w:ascii="Tahoma" w:hAnsi="Tahoma" w:cs="Tahoma"/>
        </w:rPr>
        <w:t xml:space="preserve">Biorąc pod uwagę powyższe, audyt dostępności oraz IPPD powinny zostać przygotowane przed złożeniem wniosku o dofinansowanie w ramach naborów FEOP.05.10-IP.02-001/24,FEOP.05.10-IP.02-002/24, FEOP.05.10-IP.02-003/24, FEOP.05.10-IP.02-004/24, FEOP.05.10-IP.02-005/24. </w:t>
      </w:r>
    </w:p>
    <w:p w:rsidR="00C4502A" w:rsidRPr="00C4502A" w:rsidRDefault="00C4502A" w:rsidP="00C4502A">
      <w:pPr>
        <w:rPr>
          <w:rFonts w:ascii="Tahoma" w:hAnsi="Tahoma" w:cs="Tahoma"/>
          <w:u w:val="single"/>
        </w:rPr>
      </w:pPr>
      <w:r w:rsidRPr="00C4502A">
        <w:rPr>
          <w:rFonts w:ascii="Tahoma" w:hAnsi="Tahoma" w:cs="Tahoma"/>
          <w:u w:val="single"/>
        </w:rPr>
        <w:t>Koszt przeprowadzenia audytu dostępności oraz opracowania IPPD nie stanowi wydatku kwalifikowalnego w projekcie.</w:t>
      </w:r>
    </w:p>
    <w:p w:rsidR="009A6CF7" w:rsidRPr="00693418" w:rsidRDefault="009A6CF7" w:rsidP="00C20E28">
      <w:pPr>
        <w:pStyle w:val="Akapitzlist"/>
        <w:numPr>
          <w:ilvl w:val="0"/>
          <w:numId w:val="1"/>
        </w:numPr>
      </w:pPr>
      <w:r w:rsidRPr="003901A6">
        <w:rPr>
          <w:rFonts w:ascii="Tahoma" w:hAnsi="Tahoma" w:cs="Tahoma"/>
          <w:b/>
        </w:rPr>
        <w:t>Czy wsparcie z zakresu wykorzystania rozwiązań wypracowanych w ramach konkursu „Przestrzeń Dostępnej Szkoły” może obejmować wyłącznie wybrane rozwiązania wynikające m.in. z deklaracji dostępności i diagnozy potrzeb wzorujące się na rozwiązania z ww. konkursu, czy wyłącznie dopuszczalne jest przeprowadzenie całej procedury, w tym z przeprowadzeniem audytu dostępności architektonicznej obiektu.</w:t>
      </w:r>
    </w:p>
    <w:p w:rsidR="00693418" w:rsidRDefault="00693418" w:rsidP="00693418">
      <w:pPr>
        <w:pStyle w:val="Akapitzlist"/>
        <w:rPr>
          <w:rFonts w:ascii="Tahoma" w:hAnsi="Tahoma" w:cs="Tahoma"/>
          <w:b/>
        </w:rPr>
      </w:pPr>
    </w:p>
    <w:p w:rsidR="00693418" w:rsidRPr="003901A6" w:rsidRDefault="00693418" w:rsidP="00D2768F">
      <w:pPr>
        <w:rPr>
          <w:rFonts w:ascii="Tahoma" w:hAnsi="Tahoma" w:cs="Tahoma"/>
        </w:rPr>
      </w:pPr>
      <w:r w:rsidRPr="003901A6">
        <w:rPr>
          <w:rFonts w:ascii="Tahoma" w:hAnsi="Tahoma" w:cs="Tahoma"/>
        </w:rPr>
        <w:t xml:space="preserve">Podstawą do wdrożenia rozwiązań wypracowanych w ramach konkursu „Przestrzeń Dostępnej Szkoły” (tj. Modelu  Dostępnej Szkoły) jest przeprowadzenie audytu dostępności oraz </w:t>
      </w:r>
      <w:r w:rsidRPr="003901A6">
        <w:rPr>
          <w:rFonts w:ascii="Tahoma" w:hAnsi="Tahoma" w:cs="Tahoma"/>
          <w:color w:val="000000"/>
        </w:rPr>
        <w:t xml:space="preserve">opracowanie Indywidualnego Planu Poprawy Dostępności </w:t>
      </w:r>
      <w:r w:rsidRPr="003901A6">
        <w:rPr>
          <w:rFonts w:ascii="Tahoma" w:hAnsi="Tahoma" w:cs="Tahoma"/>
        </w:rPr>
        <w:t xml:space="preserve">(więcej na ten temat w odp. na pytanie nr </w:t>
      </w:r>
      <w:r w:rsidR="001626EE">
        <w:rPr>
          <w:rFonts w:ascii="Tahoma" w:hAnsi="Tahoma" w:cs="Tahoma"/>
        </w:rPr>
        <w:t>10</w:t>
      </w:r>
      <w:r w:rsidRPr="003901A6">
        <w:rPr>
          <w:rFonts w:ascii="Tahoma" w:hAnsi="Tahoma" w:cs="Tahoma"/>
        </w:rPr>
        <w:t xml:space="preserve">). </w:t>
      </w:r>
    </w:p>
    <w:p w:rsidR="00693418" w:rsidRPr="003901A6" w:rsidRDefault="00693418" w:rsidP="00D2768F">
      <w:pPr>
        <w:rPr>
          <w:rFonts w:ascii="Tahoma" w:hAnsi="Tahoma" w:cs="Tahoma"/>
          <w:color w:val="000000"/>
        </w:rPr>
      </w:pPr>
      <w:r w:rsidRPr="003901A6">
        <w:rPr>
          <w:rFonts w:ascii="Tahoma" w:hAnsi="Tahoma" w:cs="Tahoma"/>
          <w:color w:val="000000"/>
        </w:rPr>
        <w:t>Chcąc w ramach projektu wdrożyć rozwiązania wskazane w ww. modelu</w:t>
      </w:r>
      <w:r w:rsidRPr="003901A6">
        <w:rPr>
          <w:rFonts w:ascii="Tahoma" w:hAnsi="Tahoma" w:cs="Tahoma"/>
          <w:b/>
          <w:color w:val="000000"/>
        </w:rPr>
        <w:t xml:space="preserve"> </w:t>
      </w:r>
      <w:r w:rsidRPr="003901A6">
        <w:rPr>
          <w:rFonts w:ascii="Tahoma" w:hAnsi="Tahoma" w:cs="Tahoma"/>
          <w:color w:val="000000"/>
        </w:rPr>
        <w:t xml:space="preserve">szkoła/placówka nie musi osiągnąć pełnej dostępności. Z modelu warto skorzystać gdy np. planowane są jakiekolwiek działania inwestycyjne w budynku szkoły bądź też szkoła staje przed wyzwaniami związanymi z indywidualizacją procesu nauczania. Dzięki temu wdrażane rozwiązania będą od początku dostępne. </w:t>
      </w:r>
    </w:p>
    <w:p w:rsidR="00693418" w:rsidRPr="009A6CF7" w:rsidRDefault="00693418" w:rsidP="00693418">
      <w:r w:rsidRPr="00693418">
        <w:rPr>
          <w:rFonts w:ascii="Tahoma" w:hAnsi="Tahoma" w:cs="Tahoma"/>
          <w:color w:val="000000"/>
        </w:rPr>
        <w:t xml:space="preserve">Wnioskodawca, we wniosku o dofinansowanie, powinien wskazać który standard, obszar oraz zalecenia szkoła/placówka zamierza spełnić w trakcie realizacji projektu, </w:t>
      </w:r>
      <w:bookmarkStart w:id="1" w:name="_Hlk171461536"/>
      <w:r w:rsidRPr="00693418">
        <w:rPr>
          <w:rFonts w:ascii="Tahoma" w:hAnsi="Tahoma" w:cs="Tahoma"/>
          <w:color w:val="000000"/>
        </w:rPr>
        <w:t>jak również wykazać harmonogram prac oraz szacunkowe koszty z tym związane</w:t>
      </w:r>
      <w:bookmarkEnd w:id="1"/>
      <w:r w:rsidRPr="00693418">
        <w:rPr>
          <w:rFonts w:ascii="Tahoma" w:hAnsi="Tahoma" w:cs="Tahoma"/>
          <w:color w:val="000000"/>
        </w:rPr>
        <w:t>.</w:t>
      </w:r>
    </w:p>
    <w:p w:rsidR="00D2768F" w:rsidRPr="00D2768F" w:rsidRDefault="009A6CF7" w:rsidP="00D2768F">
      <w:pPr>
        <w:pStyle w:val="Akapitzlist"/>
        <w:numPr>
          <w:ilvl w:val="0"/>
          <w:numId w:val="1"/>
        </w:numPr>
      </w:pPr>
      <w:r w:rsidRPr="003901A6">
        <w:rPr>
          <w:rFonts w:ascii="Tahoma" w:hAnsi="Tahoma" w:cs="Tahoma"/>
          <w:b/>
          <w:bCs/>
        </w:rPr>
        <w:t>Czy kiedy obecnie w placówce nie ma uczniów i dzieci z niepełnosprawnościami ruchowymi, to możliwe jest zaplanowanie w projekcie zakupu windy i/lub podjazdu, aby dostosować i przygotować placówkę na wypadek pojawienia się takich osób oraz w celu zapewnienia odpowiedniej i pełnej dostępności architektonicznej budynku?</w:t>
      </w:r>
    </w:p>
    <w:p w:rsidR="00D2768F" w:rsidRDefault="00D2768F" w:rsidP="00D2768F">
      <w:pPr>
        <w:spacing w:after="0" w:line="276" w:lineRule="auto"/>
        <w:rPr>
          <w:rFonts w:ascii="Tahoma" w:eastAsia="Times New Roman" w:hAnsi="Tahoma" w:cs="Tahoma"/>
          <w:lang w:eastAsia="pl-PL"/>
        </w:rPr>
      </w:pPr>
      <w:r w:rsidRPr="00382658">
        <w:rPr>
          <w:rFonts w:ascii="Tahoma" w:eastAsia="Times New Roman" w:hAnsi="Tahoma" w:cs="Tahoma"/>
          <w:lang w:eastAsia="pl-PL"/>
        </w:rPr>
        <w:lastRenderedPageBreak/>
        <w:t xml:space="preserve">Zgodnie z zapisami Regulaminu wyboru projektów przy planowaniu projektu w pierwszej kolejności należy dążyć do zapewnienia dostępności projektu w oparciu o koncepcję uniwersalnego projektowania. Na etapie projektowania budżetu wnioskodawca powinien przewidzieć jak najwięcej produktów i usług, które poprawiają dostępność projektu zgodnie ze </w:t>
      </w:r>
      <w:r w:rsidRPr="00382658">
        <w:rPr>
          <w:rFonts w:ascii="Tahoma" w:eastAsia="Times New Roman" w:hAnsi="Tahoma" w:cs="Tahoma"/>
          <w:i/>
          <w:lang w:eastAsia="pl-PL"/>
        </w:rPr>
        <w:t>Standardami dostępności dla polityki spójności 2021-2027</w:t>
      </w:r>
      <w:r w:rsidRPr="00382658">
        <w:rPr>
          <w:rFonts w:ascii="Tahoma" w:eastAsia="Times New Roman" w:hAnsi="Tahoma" w:cs="Tahoma"/>
          <w:lang w:eastAsia="pl-PL"/>
        </w:rPr>
        <w:t xml:space="preserve"> stanowiącymi załącznik nr 2 do </w:t>
      </w:r>
      <w:r w:rsidRPr="00382658">
        <w:rPr>
          <w:rFonts w:ascii="Tahoma" w:eastAsia="Times New Roman" w:hAnsi="Tahoma" w:cs="Tahoma"/>
          <w:i/>
          <w:lang w:eastAsia="pl-PL"/>
        </w:rPr>
        <w:t>Wytycznych dotyczących realizacji zasad równościowych w ramach funduszy unijnych na lata 2021-2027</w:t>
      </w:r>
      <w:r w:rsidRPr="00382658">
        <w:rPr>
          <w:rFonts w:ascii="Tahoma" w:eastAsia="Times New Roman" w:hAnsi="Tahoma" w:cs="Tahoma"/>
          <w:lang w:eastAsia="pl-PL"/>
        </w:rPr>
        <w:t>.</w:t>
      </w:r>
    </w:p>
    <w:p w:rsidR="00D2768F" w:rsidRPr="00DE0C0C" w:rsidRDefault="00D2768F" w:rsidP="00D2768F">
      <w:pPr>
        <w:spacing w:after="0" w:line="276" w:lineRule="auto"/>
        <w:rPr>
          <w:rFonts w:ascii="Tahoma" w:eastAsia="Times New Roman" w:hAnsi="Tahoma" w:cs="Tahoma"/>
          <w:sz w:val="10"/>
          <w:szCs w:val="10"/>
          <w:lang w:eastAsia="pl-PL"/>
        </w:rPr>
      </w:pPr>
    </w:p>
    <w:p w:rsidR="00D2768F" w:rsidRDefault="00D2768F" w:rsidP="00D2768F">
      <w:pPr>
        <w:pStyle w:val="pf0"/>
        <w:spacing w:before="0" w:beforeAutospacing="0" w:after="0" w:afterAutospacing="0" w:line="276" w:lineRule="auto"/>
        <w:rPr>
          <w:rStyle w:val="cf01"/>
          <w:rFonts w:ascii="Tahoma" w:eastAsiaTheme="majorEastAsia" w:hAnsi="Tahoma" w:cs="Tahoma"/>
          <w:sz w:val="22"/>
          <w:szCs w:val="22"/>
        </w:rPr>
      </w:pPr>
      <w:r w:rsidRPr="00382658">
        <w:rPr>
          <w:rStyle w:val="cf01"/>
          <w:rFonts w:ascii="Tahoma" w:eastAsiaTheme="majorEastAsia" w:hAnsi="Tahoma" w:cs="Tahoma"/>
          <w:sz w:val="22"/>
          <w:szCs w:val="22"/>
        </w:rPr>
        <w:t xml:space="preserve">Ponadto zgodnie z pkt. 14 Regulaminu wyboru projektów planując wsparcie w projekcie należy zaplanować je tak, aby nikomu nie ograniczać dostępu, mając na uwadze m. in., że: </w:t>
      </w:r>
      <w:r w:rsidRPr="00382658">
        <w:rPr>
          <w:rFonts w:ascii="Tahoma" w:hAnsi="Tahoma" w:cs="Tahoma"/>
          <w:sz w:val="22"/>
          <w:szCs w:val="22"/>
        </w:rPr>
        <w:br/>
      </w:r>
      <w:r w:rsidRPr="00382658">
        <w:rPr>
          <w:rStyle w:val="cf01"/>
          <w:rFonts w:ascii="Tahoma" w:eastAsiaTheme="majorEastAsia" w:hAnsi="Tahoma" w:cs="Tahoma"/>
          <w:sz w:val="22"/>
          <w:szCs w:val="22"/>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w:t>
      </w:r>
    </w:p>
    <w:p w:rsidR="00D2768F" w:rsidRDefault="00D2768F" w:rsidP="00D2768F">
      <w:pPr>
        <w:pStyle w:val="pf0"/>
        <w:spacing w:before="0" w:beforeAutospacing="0" w:after="0" w:afterAutospacing="0" w:line="276" w:lineRule="auto"/>
        <w:rPr>
          <w:rStyle w:val="cf01"/>
          <w:rFonts w:ascii="Tahoma" w:eastAsiaTheme="majorEastAsia" w:hAnsi="Tahoma" w:cs="Tahoma"/>
          <w:sz w:val="22"/>
          <w:szCs w:val="22"/>
        </w:rPr>
      </w:pPr>
    </w:p>
    <w:p w:rsidR="00D2768F" w:rsidRPr="00D2768F" w:rsidRDefault="00D2768F" w:rsidP="00D2768F">
      <w:pPr>
        <w:pStyle w:val="pf0"/>
        <w:spacing w:before="0" w:beforeAutospacing="0" w:after="0" w:afterAutospacing="0"/>
        <w:rPr>
          <w:rFonts w:ascii="Tahoma" w:eastAsiaTheme="majorEastAsia" w:hAnsi="Tahoma" w:cs="Tahoma"/>
          <w:sz w:val="22"/>
          <w:szCs w:val="22"/>
        </w:rPr>
      </w:pPr>
      <w:r w:rsidRPr="00D2768F">
        <w:rPr>
          <w:rFonts w:ascii="Tahoma" w:hAnsi="Tahoma" w:cs="Tahoma"/>
          <w:sz w:val="22"/>
          <w:szCs w:val="22"/>
        </w:rPr>
        <w:t>Działania, o którym mowa w pytaniu są możliwe do realizacji, natomiast ostateczna ocena pod kątem ich racjonalności, celowości oraz spełnienia kryteriów wyboru projektu należy do Komisji Oceny Projektów</w:t>
      </w:r>
      <w:r w:rsidRPr="00382658">
        <w:rPr>
          <w:rFonts w:ascii="Tahoma" w:hAnsi="Tahoma" w:cs="Tahoma"/>
        </w:rPr>
        <w:t>.</w:t>
      </w:r>
    </w:p>
    <w:p w:rsidR="00D2768F" w:rsidRPr="00DE0C0C" w:rsidRDefault="00D2768F" w:rsidP="00D2768F">
      <w:pPr>
        <w:spacing w:after="0" w:line="276" w:lineRule="auto"/>
        <w:rPr>
          <w:rFonts w:ascii="Tahoma" w:eastAsia="Times New Roman" w:hAnsi="Tahoma" w:cs="Tahoma"/>
          <w:sz w:val="10"/>
          <w:szCs w:val="10"/>
          <w:lang w:eastAsia="pl-PL"/>
        </w:rPr>
      </w:pPr>
    </w:p>
    <w:p w:rsidR="00D2768F" w:rsidRPr="009A6CF7" w:rsidRDefault="00D2768F" w:rsidP="00D2768F">
      <w:r w:rsidRPr="00382658">
        <w:rPr>
          <w:rFonts w:ascii="Tahoma" w:eastAsia="Times New Roman" w:hAnsi="Tahoma" w:cs="Tahoma"/>
          <w:lang w:eastAsia="pl-PL"/>
        </w:rPr>
        <w:t>Ponadto informuję, że mechanizm racjonalnych usprawnień jest możliwy do zastosowania na etapie realizacji projektu, kiedy pojawią się wydatki nieprzewidziane na etapie planowania budżetu projektu, a związane będą z zapewnieniem dostępności uczestnikowi/uczestniczce projektu (lub członkowi/członkini personelu) np. tłumacz języka migowego, transport niskopodłogowy, dostosowanie infrastruktury (nie tylko budynku, ale też dostosowanie infrastruktury komputerowej np. programy powiększające, mówiące, wydruki materiałów w alfabecie Braille'a), osoby asystujące, odpowiednie dostosowanie wyżywienia. W takim przypadku Beneficjent ma możliwość skorzystania z przesunięcia środków w budżecie projektu lub wykorzystania powstałych oszczędności w celu sfinansowania kosztów związanych z zapewnieniem dostępności</w:t>
      </w:r>
    </w:p>
    <w:p w:rsidR="009A6CF7" w:rsidRPr="00520CCE" w:rsidRDefault="009A6CF7" w:rsidP="00C20E28">
      <w:pPr>
        <w:pStyle w:val="Akapitzlist"/>
        <w:numPr>
          <w:ilvl w:val="0"/>
          <w:numId w:val="1"/>
        </w:numPr>
      </w:pPr>
      <w:r w:rsidRPr="00DE0C0C">
        <w:rPr>
          <w:rFonts w:ascii="Tahoma" w:hAnsi="Tahoma" w:cs="Tahoma"/>
          <w:b/>
          <w:bCs/>
        </w:rPr>
        <w:t>Czy wsparciem w projekcie można objąć placówkę, która na dzień złożenia wniosku o dofinansowanie projektu nie zapewnia dostępności architektonicznej i w związku z tym, zaplanowanie we wniosku o dofinansowanie zakupów oraz działań/prac remontowych dostosowujących budynek? Dostosowanie architektoniczne budynku byłoby pierwszym zadaniem, jakie zostanie zrealizowane w ramach projektu, a kolejnym zadaniem, realizowanym po dostosowaniu budynku, byłyby zajęcia i wsparcie bezpośrednio kierowane do uczestników projektu.</w:t>
      </w:r>
    </w:p>
    <w:p w:rsidR="00520CCE" w:rsidRDefault="00520CCE" w:rsidP="00520CCE">
      <w:pPr>
        <w:spacing w:after="0" w:line="276" w:lineRule="auto"/>
        <w:rPr>
          <w:rFonts w:ascii="Tahoma" w:eastAsia="Times New Roman" w:hAnsi="Tahoma" w:cs="Tahoma"/>
          <w:lang w:eastAsia="pl-PL"/>
        </w:rPr>
      </w:pPr>
      <w:r w:rsidRPr="00382658">
        <w:rPr>
          <w:rFonts w:ascii="Tahoma" w:eastAsia="Times New Roman" w:hAnsi="Tahoma" w:cs="Tahoma"/>
          <w:lang w:eastAsia="pl-PL"/>
        </w:rPr>
        <w:t xml:space="preserve">Zgodnie z zapisami </w:t>
      </w:r>
      <w:r w:rsidRPr="00382658">
        <w:rPr>
          <w:rFonts w:ascii="Tahoma" w:eastAsia="Times New Roman" w:hAnsi="Tahoma" w:cs="Tahoma"/>
          <w:i/>
          <w:iCs/>
          <w:lang w:eastAsia="pl-PL"/>
        </w:rPr>
        <w:t>Regulaminu wyboru projektów</w:t>
      </w:r>
      <w:r w:rsidRPr="00382658">
        <w:rPr>
          <w:rFonts w:ascii="Tahoma" w:eastAsia="Times New Roman" w:hAnsi="Tahoma" w:cs="Tahoma"/>
          <w:lang w:eastAsia="pl-PL"/>
        </w:rPr>
        <w:t xml:space="preserve"> przy planowaniu projektu należy dążyć do zapewnienia dostępności projektu w oparciu o koncepcję uniwersalnego projektowania. Na etapie projektowania budżetu wnioskodawca powinien przewidzieć jak najwięcej produktów i usług, które poprawiają dostępność projektu zgodnie ze </w:t>
      </w:r>
      <w:r w:rsidRPr="00382658">
        <w:rPr>
          <w:rFonts w:ascii="Tahoma" w:eastAsia="Times New Roman" w:hAnsi="Tahoma" w:cs="Tahoma"/>
          <w:i/>
          <w:lang w:eastAsia="pl-PL"/>
        </w:rPr>
        <w:t>Standardami dostępności dla polityki spójności 2021-2027</w:t>
      </w:r>
      <w:r w:rsidRPr="00382658">
        <w:rPr>
          <w:rFonts w:ascii="Tahoma" w:eastAsia="Times New Roman" w:hAnsi="Tahoma" w:cs="Tahoma"/>
          <w:lang w:eastAsia="pl-PL"/>
        </w:rPr>
        <w:t xml:space="preserve"> stanowiącymi załącznik nr 2 do </w:t>
      </w:r>
      <w:r w:rsidRPr="00382658">
        <w:rPr>
          <w:rFonts w:ascii="Tahoma" w:eastAsia="Times New Roman" w:hAnsi="Tahoma" w:cs="Tahoma"/>
          <w:i/>
          <w:lang w:eastAsia="pl-PL"/>
        </w:rPr>
        <w:t>Wytycznych dotyczących realizacji zasad równościowych w ramach funduszy unijnych na lata 2021-2027</w:t>
      </w:r>
      <w:r w:rsidRPr="00382658">
        <w:rPr>
          <w:rFonts w:ascii="Tahoma" w:eastAsia="Times New Roman" w:hAnsi="Tahoma" w:cs="Tahoma"/>
          <w:lang w:eastAsia="pl-PL"/>
        </w:rPr>
        <w:t>.</w:t>
      </w:r>
    </w:p>
    <w:p w:rsidR="00520CCE" w:rsidRPr="00347CF5" w:rsidRDefault="00520CCE" w:rsidP="00520CCE">
      <w:pPr>
        <w:spacing w:after="0" w:line="276" w:lineRule="auto"/>
        <w:rPr>
          <w:rFonts w:ascii="Tahoma" w:eastAsia="Times New Roman" w:hAnsi="Tahoma" w:cs="Tahoma"/>
          <w:sz w:val="10"/>
          <w:szCs w:val="10"/>
          <w:lang w:eastAsia="pl-PL"/>
        </w:rPr>
      </w:pPr>
    </w:p>
    <w:p w:rsidR="00520CCE" w:rsidRDefault="00520CCE" w:rsidP="00520CCE">
      <w:pPr>
        <w:spacing w:after="0" w:line="276" w:lineRule="auto"/>
        <w:rPr>
          <w:rFonts w:ascii="Tahoma" w:eastAsia="Times New Roman" w:hAnsi="Tahoma" w:cs="Tahoma"/>
          <w:lang w:eastAsia="pl-PL"/>
        </w:rPr>
      </w:pPr>
      <w:r w:rsidRPr="00382658">
        <w:rPr>
          <w:rFonts w:ascii="Tahoma" w:eastAsia="Times New Roman" w:hAnsi="Tahoma" w:cs="Tahoma"/>
          <w:lang w:eastAsia="pl-PL"/>
        </w:rPr>
        <w:lastRenderedPageBreak/>
        <w:t xml:space="preserve">Dodatkowo w ramach typów projektów podlegających dofinansowaniu możliwe jest m.in. wdrażanie i upowszechnianie wypracowanego w ramach PO WER Modelu Dostępnej Szkoły (MDS) w celu poprawy dostępności szkół podstawowych poprzez eliminowanie barier w różnych obszarach: architektonicznym, technicznym, edukacyjno-społecznym, związanym z organizacją, procedurami i zatrudnieniem oraz kompetencjami kadry. </w:t>
      </w:r>
    </w:p>
    <w:p w:rsidR="00520CCE" w:rsidRPr="00347CF5" w:rsidRDefault="00520CCE" w:rsidP="00520CCE">
      <w:pPr>
        <w:spacing w:after="0" w:line="276" w:lineRule="auto"/>
        <w:rPr>
          <w:rFonts w:ascii="Tahoma" w:eastAsia="Times New Roman" w:hAnsi="Tahoma" w:cs="Tahoma"/>
          <w:sz w:val="10"/>
          <w:szCs w:val="10"/>
          <w:lang w:eastAsia="pl-PL"/>
        </w:rPr>
      </w:pPr>
    </w:p>
    <w:p w:rsidR="00520CCE" w:rsidRDefault="00520CCE" w:rsidP="00520CCE">
      <w:pPr>
        <w:spacing w:after="0" w:line="276" w:lineRule="auto"/>
        <w:rPr>
          <w:rFonts w:ascii="Tahoma" w:eastAsia="Times New Roman" w:hAnsi="Tahoma" w:cs="Tahoma"/>
          <w:lang w:eastAsia="pl-PL"/>
        </w:rPr>
      </w:pPr>
      <w:r w:rsidRPr="00382658">
        <w:rPr>
          <w:rFonts w:ascii="Tahoma" w:eastAsia="Times New Roman" w:hAnsi="Tahoma" w:cs="Tahoma"/>
          <w:lang w:eastAsia="pl-PL"/>
        </w:rPr>
        <w:t>Działania, o którym mowa w pytaniu są możliwe do realizacji, natomiast ostateczna ocena pod kątem ich racjonalności, celowości oraz spełnienia kryteriów wyboru projektu należy do Komisji Oceny Projektów.</w:t>
      </w:r>
    </w:p>
    <w:p w:rsidR="00520CCE" w:rsidRPr="00347CF5" w:rsidRDefault="00520CCE" w:rsidP="00520CCE">
      <w:pPr>
        <w:spacing w:after="0" w:line="276" w:lineRule="auto"/>
        <w:rPr>
          <w:rFonts w:ascii="Tahoma" w:eastAsia="Times New Roman" w:hAnsi="Tahoma" w:cs="Tahoma"/>
          <w:sz w:val="10"/>
          <w:szCs w:val="10"/>
          <w:lang w:eastAsia="pl-PL"/>
        </w:rPr>
      </w:pPr>
    </w:p>
    <w:p w:rsidR="00520CCE" w:rsidRPr="009A6CF7" w:rsidRDefault="00520CCE" w:rsidP="00520CCE">
      <w:r w:rsidRPr="00382658">
        <w:rPr>
          <w:rFonts w:ascii="Tahoma" w:eastAsia="Times New Roman" w:hAnsi="Tahoma" w:cs="Tahoma"/>
          <w:lang w:eastAsia="pl-PL"/>
        </w:rPr>
        <w:t xml:space="preserve">Jednocześnie przypominam, że zgodnie z Regulaminem wyboru projektów </w:t>
      </w:r>
      <w:r w:rsidRPr="00382658">
        <w:rPr>
          <w:rFonts w:ascii="Tahoma" w:hAnsi="Tahoma" w:cs="Tahoma"/>
        </w:rPr>
        <w:t>wartość wydatków w ramach cross-</w:t>
      </w:r>
      <w:proofErr w:type="spellStart"/>
      <w:r w:rsidRPr="00382658">
        <w:rPr>
          <w:rFonts w:ascii="Tahoma" w:hAnsi="Tahoma" w:cs="Tahoma"/>
        </w:rPr>
        <w:t>financingu</w:t>
      </w:r>
      <w:proofErr w:type="spellEnd"/>
      <w:r w:rsidRPr="00382658">
        <w:rPr>
          <w:rFonts w:ascii="Tahoma" w:hAnsi="Tahoma" w:cs="Tahoma"/>
        </w:rPr>
        <w:t xml:space="preserve"> nie może stanowić więcej niż:</w:t>
      </w:r>
      <w:r w:rsidRPr="00382658">
        <w:rPr>
          <w:rFonts w:ascii="Tahoma" w:hAnsi="Tahoma" w:cs="Tahoma"/>
          <w:b/>
        </w:rPr>
        <w:t xml:space="preserve"> 30 % </w:t>
      </w:r>
      <w:r w:rsidRPr="00382658">
        <w:rPr>
          <w:rFonts w:ascii="Tahoma" w:hAnsi="Tahoma" w:cs="Tahoma"/>
        </w:rPr>
        <w:t>wydatków kwalifikowalnych projektu.</w:t>
      </w:r>
    </w:p>
    <w:p w:rsidR="009A6CF7" w:rsidRPr="00272EEB" w:rsidRDefault="009A6CF7" w:rsidP="00C20E28">
      <w:pPr>
        <w:pStyle w:val="Akapitzlist"/>
        <w:numPr>
          <w:ilvl w:val="0"/>
          <w:numId w:val="1"/>
        </w:numPr>
      </w:pPr>
      <w:r w:rsidRPr="00E022CD">
        <w:rPr>
          <w:rFonts w:ascii="Tahoma" w:hAnsi="Tahoma" w:cs="Tahoma"/>
          <w:b/>
          <w:bCs/>
        </w:rPr>
        <w:t>Czy w ramach projektu możliwe jest sfinansowanie zakupu wyposażenia placu zabaw dla osób ze specjalnymi potrzebami edukacyjnymi i rozwojowymi?</w:t>
      </w:r>
    </w:p>
    <w:p w:rsidR="00272EEB" w:rsidRPr="009A6CF7" w:rsidRDefault="00272EEB" w:rsidP="00272EEB">
      <w:r>
        <w:rPr>
          <w:rFonts w:ascii="Tahoma" w:hAnsi="Tahoma" w:cs="Tahoma"/>
        </w:rPr>
        <w:t>Z</w:t>
      </w:r>
      <w:r w:rsidRPr="00382658">
        <w:rPr>
          <w:rFonts w:ascii="Tahoma" w:hAnsi="Tahoma" w:cs="Tahoma"/>
        </w:rPr>
        <w:t xml:space="preserve">godnie z </w:t>
      </w:r>
      <w:r w:rsidRPr="00382658">
        <w:rPr>
          <w:rFonts w:ascii="Tahoma" w:hAnsi="Tahoma" w:cs="Tahoma"/>
          <w:i/>
        </w:rPr>
        <w:t>Wytycznymi dotyczącymi realizacji projektów z udziałem środków Europejskiego Funduszu Społecznego Plus w regionalnych programach na lata 2021–2027</w:t>
      </w:r>
      <w:r w:rsidRPr="00382658">
        <w:rPr>
          <w:rFonts w:ascii="Tahoma" w:hAnsi="Tahoma" w:cs="Tahoma"/>
        </w:rPr>
        <w:t xml:space="preserve"> zakup </w:t>
      </w:r>
      <w:r>
        <w:rPr>
          <w:rFonts w:ascii="Tahoma" w:hAnsi="Tahoma" w:cs="Tahoma"/>
        </w:rPr>
        <w:t xml:space="preserve">wyposażenia/ </w:t>
      </w:r>
      <w:r w:rsidRPr="00382658">
        <w:rPr>
          <w:rFonts w:ascii="Tahoma" w:hAnsi="Tahoma" w:cs="Tahoma"/>
        </w:rPr>
        <w:t>sprzętu nie powinien stanowić jedynego lub głównego celu projektu, powinien wynikać bezpośrednio ze zdiagnozowanych potrzeb i być niezbędny do osiągnięcia celu projektu.</w:t>
      </w:r>
      <w:r>
        <w:rPr>
          <w:rFonts w:ascii="Tahoma" w:hAnsi="Tahoma" w:cs="Tahoma"/>
        </w:rPr>
        <w:t xml:space="preserve"> </w:t>
      </w:r>
      <w:r w:rsidRPr="00E022CD">
        <w:rPr>
          <w:rFonts w:ascii="Tahoma" w:hAnsi="Tahoma" w:cs="Tahoma"/>
        </w:rPr>
        <w:t xml:space="preserve">Działania zaplanowane we wniosku o dofinansowanie projektu muszą być zgodne z typami przedsięwzięć podlegających dofinansowaniu określonymi w Regulaminie wyboru projektów. </w:t>
      </w:r>
      <w:r w:rsidRPr="00382658">
        <w:rPr>
          <w:rFonts w:ascii="Tahoma" w:hAnsi="Tahoma" w:cs="Tahoma"/>
        </w:rPr>
        <w:t xml:space="preserve">W obecnym naborze brak typów projektu polegających na doposażeniu szkoły/placówki. Zakup wyposażenia jest możliwy jedynie w przypadku jego wykorzystania w ramach prowadzonych w projekcie zajęć. </w:t>
      </w:r>
      <w:r w:rsidRPr="00382658">
        <w:rPr>
          <w:rFonts w:ascii="Tahoma" w:eastAsia="Times New Roman" w:hAnsi="Tahoma" w:cs="Tahoma"/>
          <w:lang w:eastAsia="pl-PL"/>
        </w:rPr>
        <w:t>O tym, czy dany wydatek zostanie uznany za kwalifikowalny decyduje Komisja Oceny Projektów uwzględniając zapisy zawarte we wniosku o dofinansowanie, w tym przeprowadzoną diagnozę potrzeb</w:t>
      </w:r>
      <w:r w:rsidRPr="00382658">
        <w:rPr>
          <w:rFonts w:ascii="Tahoma" w:hAnsi="Tahoma" w:cs="Tahoma"/>
        </w:rPr>
        <w:t xml:space="preserve"> w kontekście stworzenia dla dzieci optymalnych warunków do nauki i rozwoju.</w:t>
      </w:r>
    </w:p>
    <w:p w:rsidR="009A6CF7" w:rsidRPr="00272EEB" w:rsidRDefault="009A6CF7" w:rsidP="00C20E28">
      <w:pPr>
        <w:pStyle w:val="Akapitzlist"/>
        <w:numPr>
          <w:ilvl w:val="0"/>
          <w:numId w:val="1"/>
        </w:numPr>
      </w:pPr>
      <w:r w:rsidRPr="007C6005">
        <w:rPr>
          <w:rFonts w:ascii="Tahoma" w:hAnsi="Tahoma" w:cs="Tahoma"/>
          <w:b/>
          <w:bCs/>
        </w:rPr>
        <w:t>Czy w ramach projektu można przewidzieć szkolenia/kursy/studia podyplomowe podnoszące kompetencji kadr w zakresie organizacji lub podnoszenia jakości edukacji włączającej, jeśli w ramach projektu nie będą realizowane zajęcia z danego zakresu (realizacja zajęć poza projektem obecnie w placówce), np. studia podyplomowe z integracji sensorycznej. Wnioskodawca zdiagnozował potrzebę zwiększenia liczby nauczycieli mających kompetencje w ww. zakresie.</w:t>
      </w:r>
    </w:p>
    <w:p w:rsidR="00272EEB" w:rsidRPr="00382658" w:rsidRDefault="00272EEB" w:rsidP="00272EEB">
      <w:pPr>
        <w:spacing w:after="0" w:line="276" w:lineRule="auto"/>
        <w:rPr>
          <w:rFonts w:ascii="Tahoma" w:eastAsia="Times New Roman" w:hAnsi="Tahoma" w:cs="Tahoma"/>
          <w:color w:val="000000"/>
          <w:lang w:eastAsia="pl-PL"/>
        </w:rPr>
      </w:pPr>
      <w:r w:rsidRPr="00382658">
        <w:rPr>
          <w:rFonts w:ascii="Tahoma" w:hAnsi="Tahoma" w:cs="Tahoma"/>
        </w:rPr>
        <w:t>Tak, w ramach naboru szkolenia/kursy/studia podyplomowe podnoszące kompetencje kadr w zakresie organizacji lub podnoszenia jakości edukacji włączającej</w:t>
      </w:r>
      <w:r w:rsidRPr="00382658">
        <w:rPr>
          <w:rFonts w:ascii="Tahoma" w:eastAsia="Times New Roman" w:hAnsi="Tahoma" w:cs="Tahoma"/>
          <w:color w:val="000000"/>
          <w:lang w:eastAsia="pl-PL"/>
        </w:rPr>
        <w:t xml:space="preserve"> mogą być realizowane w ramach typu projektów: </w:t>
      </w:r>
    </w:p>
    <w:p w:rsidR="00272EEB" w:rsidRPr="00382658" w:rsidRDefault="00272EEB" w:rsidP="00272EEB">
      <w:pPr>
        <w:spacing w:after="0" w:line="276" w:lineRule="auto"/>
        <w:rPr>
          <w:rFonts w:ascii="Tahoma" w:hAnsi="Tahoma" w:cs="Tahoma"/>
        </w:rPr>
      </w:pPr>
      <w:r w:rsidRPr="00382658">
        <w:rPr>
          <w:rFonts w:ascii="Tahoma" w:hAnsi="Tahoma" w:cs="Tahoma"/>
        </w:rPr>
        <w:t xml:space="preserve">Podnoszenie kompetencji kadr pedagogicznych (kursy, szkolenia, studia, doradztwo) </w:t>
      </w:r>
      <w:r w:rsidRPr="00382658">
        <w:rPr>
          <w:rFonts w:ascii="Tahoma" w:hAnsi="Tahoma" w:cs="Tahoma"/>
        </w:rPr>
        <w:br/>
        <w:t>w zakresie edukacji włączającej, w tym m.in. kształcenie w ramach pedagogiki specjalnej.</w:t>
      </w:r>
    </w:p>
    <w:p w:rsidR="00272EEB" w:rsidRPr="00382658" w:rsidRDefault="00272EEB" w:rsidP="00272EEB">
      <w:pPr>
        <w:spacing w:after="0" w:line="276" w:lineRule="auto"/>
        <w:rPr>
          <w:rFonts w:ascii="Tahoma" w:hAnsi="Tahoma" w:cs="Tahoma"/>
        </w:rPr>
      </w:pPr>
      <w:r w:rsidRPr="00382658">
        <w:rPr>
          <w:rFonts w:ascii="Tahoma" w:hAnsi="Tahoma" w:cs="Tahoma"/>
        </w:rPr>
        <w:t>Zgodnie z Regulaminem zaplanowane w projekcie wsparcie dot. n-li musi spełniać następujące warunki:</w:t>
      </w:r>
    </w:p>
    <w:p w:rsidR="00272EEB" w:rsidRPr="00382658" w:rsidRDefault="00272EEB" w:rsidP="00272EEB">
      <w:pPr>
        <w:spacing w:after="0" w:line="276" w:lineRule="auto"/>
        <w:rPr>
          <w:rFonts w:ascii="Tahoma" w:hAnsi="Tahoma" w:cs="Tahoma"/>
        </w:rPr>
      </w:pPr>
      <w:r w:rsidRPr="00382658">
        <w:rPr>
          <w:rFonts w:ascii="Tahoma" w:hAnsi="Tahoma" w:cs="Tahoma"/>
        </w:rPr>
        <w:t xml:space="preserve">- Projekty nie powielają działań realizowanych na poziomie krajowym (zarówno ze środków EFS+, jak i źródeł krajowych), </w:t>
      </w:r>
      <w:r w:rsidRPr="00382658">
        <w:rPr>
          <w:rFonts w:ascii="Tahoma" w:hAnsi="Tahoma" w:cs="Tahoma"/>
          <w:u w:val="single"/>
        </w:rPr>
        <w:t>w szczególności w zakresie wsparcia nauczycieli.</w:t>
      </w:r>
      <w:r w:rsidRPr="00382658">
        <w:rPr>
          <w:rFonts w:ascii="Tahoma" w:hAnsi="Tahoma" w:cs="Tahoma"/>
        </w:rPr>
        <w:t xml:space="preserve"> </w:t>
      </w:r>
    </w:p>
    <w:p w:rsidR="00272EEB" w:rsidRPr="00382658" w:rsidRDefault="00272EEB" w:rsidP="00272EEB">
      <w:pPr>
        <w:spacing w:after="0" w:line="276" w:lineRule="auto"/>
        <w:rPr>
          <w:rFonts w:ascii="Tahoma" w:hAnsi="Tahoma" w:cs="Tahoma"/>
        </w:rPr>
      </w:pPr>
      <w:r w:rsidRPr="00382658">
        <w:rPr>
          <w:rFonts w:ascii="Tahoma" w:hAnsi="Tahoma" w:cs="Tahoma"/>
        </w:rPr>
        <w:lastRenderedPageBreak/>
        <w:t xml:space="preserve">- Wsparcie dla danej placówki, </w:t>
      </w:r>
      <w:r w:rsidRPr="00382658">
        <w:rPr>
          <w:rFonts w:ascii="Tahoma" w:hAnsi="Tahoma" w:cs="Tahoma"/>
          <w:u w:val="single"/>
        </w:rPr>
        <w:t>jej kadry</w:t>
      </w:r>
      <w:r w:rsidRPr="00382658">
        <w:rPr>
          <w:rFonts w:ascii="Tahoma" w:hAnsi="Tahoma" w:cs="Tahoma"/>
        </w:rPr>
        <w:t xml:space="preserve"> i uczniów jest realizowane w oparciu o indywidualnie zdiagnozowane potrzeby placówki, przede wszystkim w kontekście wyrównywania szans edukacyjnych uczniów.</w:t>
      </w:r>
    </w:p>
    <w:p w:rsidR="00272EEB" w:rsidRPr="007C6005" w:rsidRDefault="00272EEB" w:rsidP="00272EEB">
      <w:pPr>
        <w:spacing w:after="0" w:line="276" w:lineRule="auto"/>
        <w:rPr>
          <w:rFonts w:ascii="Tahoma" w:hAnsi="Tahoma" w:cs="Tahoma"/>
          <w:sz w:val="10"/>
          <w:szCs w:val="10"/>
        </w:rPr>
      </w:pPr>
    </w:p>
    <w:p w:rsidR="00272EEB" w:rsidRPr="00382658" w:rsidRDefault="00272EEB" w:rsidP="00272EEB">
      <w:pPr>
        <w:spacing w:after="0" w:line="276" w:lineRule="auto"/>
        <w:rPr>
          <w:rFonts w:ascii="Tahoma" w:hAnsi="Tahoma" w:cs="Tahoma"/>
        </w:rPr>
      </w:pPr>
      <w:r w:rsidRPr="00382658">
        <w:rPr>
          <w:rFonts w:ascii="Tahoma" w:hAnsi="Tahoma" w:cs="Tahoma"/>
        </w:rPr>
        <w:t xml:space="preserve">Ponadto kierując wsparcie do </w:t>
      </w:r>
      <w:r w:rsidRPr="00382658">
        <w:rPr>
          <w:rFonts w:ascii="Tahoma" w:hAnsi="Tahoma" w:cs="Tahoma"/>
          <w:u w:val="single"/>
        </w:rPr>
        <w:t>n-li szkół specjalnych</w:t>
      </w:r>
      <w:r w:rsidRPr="00382658">
        <w:rPr>
          <w:rFonts w:ascii="Tahoma" w:hAnsi="Tahoma" w:cs="Tahoma"/>
        </w:rPr>
        <w:t xml:space="preserve"> należy pamiętać o dodatkowych warunkach:</w:t>
      </w:r>
    </w:p>
    <w:p w:rsidR="00272EEB" w:rsidRPr="00382658" w:rsidRDefault="00272EEB" w:rsidP="00272EEB">
      <w:pPr>
        <w:spacing w:after="0" w:line="276" w:lineRule="auto"/>
        <w:rPr>
          <w:rFonts w:ascii="Tahoma" w:hAnsi="Tahoma" w:cs="Tahoma"/>
        </w:rPr>
      </w:pPr>
      <w:r w:rsidRPr="00382658">
        <w:rPr>
          <w:rFonts w:ascii="Tahoma" w:hAnsi="Tahoma" w:cs="Tahoma"/>
        </w:rPr>
        <w:t xml:space="preserve">W ramach edukacji włączającej istnieje możliwość wsparcia uczniów </w:t>
      </w:r>
      <w:r w:rsidRPr="00382658">
        <w:rPr>
          <w:rFonts w:ascii="Tahoma" w:hAnsi="Tahoma" w:cs="Tahoma"/>
          <w:u w:val="single"/>
        </w:rPr>
        <w:t>szkół specjalnych</w:t>
      </w:r>
      <w:r w:rsidRPr="00382658">
        <w:rPr>
          <w:rFonts w:ascii="Tahoma" w:hAnsi="Tahoma" w:cs="Tahoma"/>
        </w:rPr>
        <w:t xml:space="preserve"> </w:t>
      </w:r>
      <w:r w:rsidRPr="00382658">
        <w:rPr>
          <w:rFonts w:ascii="Tahoma" w:hAnsi="Tahoma" w:cs="Tahoma"/>
          <w:u w:val="single"/>
        </w:rPr>
        <w:t>i ich otoczenia (rodziców oraz nauczycieli)</w:t>
      </w:r>
      <w:r w:rsidRPr="00382658">
        <w:rPr>
          <w:rFonts w:ascii="Tahoma" w:hAnsi="Tahoma" w:cs="Tahoma"/>
        </w:rPr>
        <w:t xml:space="preserve"> przy spełnieniu następujących warunków: </w:t>
      </w:r>
    </w:p>
    <w:p w:rsidR="00272EEB" w:rsidRPr="00382658" w:rsidRDefault="00272EEB" w:rsidP="00272EEB">
      <w:pPr>
        <w:spacing w:after="0" w:line="276" w:lineRule="auto"/>
        <w:rPr>
          <w:rFonts w:ascii="Tahoma" w:hAnsi="Tahoma" w:cs="Tahoma"/>
        </w:rPr>
      </w:pPr>
      <w:r w:rsidRPr="00382658">
        <w:rPr>
          <w:rFonts w:ascii="Tahoma" w:hAnsi="Tahoma" w:cs="Tahoma"/>
        </w:rPr>
        <w:t xml:space="preserve">a) zajęcia dla uczniów, rodziców i </w:t>
      </w:r>
      <w:r w:rsidRPr="00382658">
        <w:rPr>
          <w:rFonts w:ascii="Tahoma" w:hAnsi="Tahoma" w:cs="Tahoma"/>
          <w:u w:val="single"/>
        </w:rPr>
        <w:t>nauczycieli szkół specjalnych ukierunkowane będą na przygotowanie dzieci do przejścia do szkoły ogólnodostępnej</w:t>
      </w:r>
      <w:r w:rsidRPr="00382658">
        <w:rPr>
          <w:rFonts w:ascii="Tahoma" w:hAnsi="Tahoma" w:cs="Tahoma"/>
        </w:rPr>
        <w:t xml:space="preserve">, np. zajęcia z logopedą, psychologiem, </w:t>
      </w:r>
      <w:r w:rsidRPr="00382658">
        <w:rPr>
          <w:rFonts w:ascii="Tahoma" w:hAnsi="Tahoma" w:cs="Tahoma"/>
          <w:u w:val="single"/>
        </w:rPr>
        <w:t xml:space="preserve">jak również studia podyplomowe i kursy dla nauczycieli </w:t>
      </w:r>
      <w:r w:rsidRPr="00382658">
        <w:rPr>
          <w:rFonts w:ascii="Tahoma" w:hAnsi="Tahoma" w:cs="Tahoma"/>
        </w:rPr>
        <w:t xml:space="preserve">z zakresu pedagogiki specjalnej, w tym oligofrenopedagogiki, surdopedagogiki czy logopedii; </w:t>
      </w:r>
    </w:p>
    <w:p w:rsidR="00272EEB" w:rsidRPr="009A6CF7" w:rsidRDefault="00272EEB" w:rsidP="00272EEB">
      <w:r w:rsidRPr="00382658">
        <w:rPr>
          <w:rFonts w:ascii="Tahoma" w:hAnsi="Tahoma" w:cs="Tahoma"/>
        </w:rPr>
        <w:t xml:space="preserve">b) w przypadku objęcia wsparciem uczniów, rodziców oraz </w:t>
      </w:r>
      <w:r w:rsidRPr="00382658">
        <w:rPr>
          <w:rFonts w:ascii="Tahoma" w:hAnsi="Tahoma" w:cs="Tahoma"/>
          <w:u w:val="single"/>
        </w:rPr>
        <w:t>nauczycieli szkół specjalnych, elementem projektu będą zajęcia integracyjne z uczniami, rodzicami i nauczycielami szkół ogólnodostępnych celem integracji, wymiany doświadczeń i inkluzji</w:t>
      </w:r>
      <w:r w:rsidRPr="00382658">
        <w:rPr>
          <w:rFonts w:ascii="Tahoma" w:hAnsi="Tahoma" w:cs="Tahoma"/>
        </w:rPr>
        <w:t>.</w:t>
      </w:r>
    </w:p>
    <w:p w:rsidR="009A6CF7" w:rsidRPr="00272EEB" w:rsidRDefault="009A6CF7" w:rsidP="00C20E28">
      <w:pPr>
        <w:pStyle w:val="Akapitzlist"/>
        <w:numPr>
          <w:ilvl w:val="0"/>
          <w:numId w:val="1"/>
        </w:numPr>
      </w:pPr>
      <w:r w:rsidRPr="007C6005">
        <w:rPr>
          <w:rFonts w:ascii="Tahoma" w:hAnsi="Tahoma" w:cs="Tahoma"/>
          <w:b/>
          <w:bCs/>
        </w:rPr>
        <w:t xml:space="preserve">Czy Wnioskodawca może wnieść wkład własny w postaci udostępniania </w:t>
      </w:r>
      <w:proofErr w:type="spellStart"/>
      <w:r w:rsidRPr="007C6005">
        <w:rPr>
          <w:rFonts w:ascii="Tahoma" w:hAnsi="Tahoma" w:cs="Tahoma"/>
          <w:b/>
          <w:bCs/>
        </w:rPr>
        <w:t>sal</w:t>
      </w:r>
      <w:proofErr w:type="spellEnd"/>
      <w:r w:rsidRPr="007C6005">
        <w:rPr>
          <w:rFonts w:ascii="Tahoma" w:hAnsi="Tahoma" w:cs="Tahoma"/>
          <w:b/>
          <w:bCs/>
        </w:rPr>
        <w:t xml:space="preserve"> na zajęcia prowadzone w projekcie, jeśli budynek, w którym znajdują się ww. sale był wcześniej </w:t>
      </w:r>
      <w:proofErr w:type="spellStart"/>
      <w:r w:rsidRPr="007C6005">
        <w:rPr>
          <w:rFonts w:ascii="Tahoma" w:hAnsi="Tahoma" w:cs="Tahoma"/>
          <w:b/>
          <w:bCs/>
        </w:rPr>
        <w:t>termomodernizowany</w:t>
      </w:r>
      <w:proofErr w:type="spellEnd"/>
      <w:r w:rsidRPr="007C6005">
        <w:rPr>
          <w:rFonts w:ascii="Tahoma" w:hAnsi="Tahoma" w:cs="Tahoma"/>
          <w:b/>
          <w:bCs/>
        </w:rPr>
        <w:t xml:space="preserve"> ze środków unijnych?</w:t>
      </w:r>
    </w:p>
    <w:p w:rsidR="00272EEB" w:rsidRPr="009A6CF7" w:rsidRDefault="00272EEB" w:rsidP="00272EEB">
      <w:r w:rsidRPr="00382658">
        <w:rPr>
          <w:rFonts w:ascii="Tahoma" w:hAnsi="Tahoma" w:cs="Tahoma"/>
        </w:rPr>
        <w:t xml:space="preserve">Co do zasady udostępnienie </w:t>
      </w:r>
      <w:proofErr w:type="spellStart"/>
      <w:r w:rsidRPr="00382658">
        <w:rPr>
          <w:rFonts w:ascii="Tahoma" w:hAnsi="Tahoma" w:cs="Tahoma"/>
        </w:rPr>
        <w:t>sal</w:t>
      </w:r>
      <w:proofErr w:type="spellEnd"/>
      <w:r w:rsidRPr="00382658">
        <w:rPr>
          <w:rFonts w:ascii="Tahoma" w:hAnsi="Tahoma" w:cs="Tahoma"/>
        </w:rPr>
        <w:t xml:space="preserve"> do działań projektowych w ramach kosztów bezpośrednich projektu może stanowić wkład własny niepieniężny w projekcie, o ile spełnione są warunki Podrozdziału 3.3 Wytycznych dotyczących kwalifikowalności wydatków na lata 2021-2027. </w:t>
      </w:r>
      <w:r w:rsidRPr="00382658">
        <w:rPr>
          <w:rFonts w:ascii="Tahoma" w:hAnsi="Tahoma" w:cs="Tahoma"/>
        </w:rPr>
        <w:br/>
        <w:t xml:space="preserve">Wkład własny w formie udostępnienia </w:t>
      </w:r>
      <w:proofErr w:type="spellStart"/>
      <w:r w:rsidRPr="00382658">
        <w:rPr>
          <w:rFonts w:ascii="Tahoma" w:hAnsi="Tahoma" w:cs="Tahoma"/>
        </w:rPr>
        <w:t>sal</w:t>
      </w:r>
      <w:proofErr w:type="spellEnd"/>
      <w:r w:rsidRPr="00382658">
        <w:rPr>
          <w:rFonts w:ascii="Tahoma" w:hAnsi="Tahoma" w:cs="Tahoma"/>
        </w:rPr>
        <w:t xml:space="preserve"> lekcyjnych na potrzeby realizacji zajęć (np. koszt energii, wody) w ramach realizowanego projektu w budynku, w którym wcześniej dokonano prac remontowych z innego funduszu, w opinii Instytucji Organizującej Nabór nie narusza wymogu z Wytycznych dotyczących kwalifikowalności wydatków na lata 2021-2027, Podrozdział 3.3. („Wkład niepieniężny pkt 1 lit f „wkład niepieniężny nie był uprzednio współfinansowany ze środków UE”) i nie będzie stanowił podwójnego finansowania.</w:t>
      </w:r>
      <w:r w:rsidRPr="00382658">
        <w:rPr>
          <w:rFonts w:ascii="Tahoma" w:hAnsi="Tahoma" w:cs="Tahoma"/>
        </w:rPr>
        <w:br/>
        <w:t xml:space="preserve">Innymi rodzajowo wydatkami są wydatki na koszty prac remontowych/budowlanych, a innymi wydatki za udostępnienie </w:t>
      </w:r>
      <w:proofErr w:type="spellStart"/>
      <w:r w:rsidRPr="00382658">
        <w:rPr>
          <w:rFonts w:ascii="Tahoma" w:hAnsi="Tahoma" w:cs="Tahoma"/>
        </w:rPr>
        <w:t>sal</w:t>
      </w:r>
      <w:proofErr w:type="spellEnd"/>
      <w:r w:rsidRPr="00382658">
        <w:rPr>
          <w:rFonts w:ascii="Tahoma" w:hAnsi="Tahoma" w:cs="Tahoma"/>
        </w:rPr>
        <w:t xml:space="preserve"> (koszt oszacowania eksploatacji </w:t>
      </w:r>
      <w:proofErr w:type="spellStart"/>
      <w:r w:rsidRPr="00382658">
        <w:rPr>
          <w:rFonts w:ascii="Tahoma" w:hAnsi="Tahoma" w:cs="Tahoma"/>
        </w:rPr>
        <w:t>sal</w:t>
      </w:r>
      <w:proofErr w:type="spellEnd"/>
      <w:r w:rsidRPr="00382658">
        <w:rPr>
          <w:rFonts w:ascii="Tahoma" w:hAnsi="Tahoma" w:cs="Tahoma"/>
        </w:rPr>
        <w:t>, tj.: koszt energii elektrycznej, cieplnej, wody itp.) do prowadzenia zajęć.</w:t>
      </w:r>
    </w:p>
    <w:p w:rsidR="009A6CF7" w:rsidRPr="00272EEB" w:rsidRDefault="009A6CF7" w:rsidP="00C20E28">
      <w:pPr>
        <w:pStyle w:val="Akapitzlist"/>
        <w:numPr>
          <w:ilvl w:val="0"/>
          <w:numId w:val="1"/>
        </w:numPr>
      </w:pPr>
      <w:r w:rsidRPr="007C6005">
        <w:rPr>
          <w:rFonts w:ascii="Tahoma" w:hAnsi="Tahoma" w:cs="Tahoma"/>
          <w:b/>
          <w:bCs/>
        </w:rPr>
        <w:t>Czy w ramach projektu jako jeden z elementów, można przewidzieć zakup defibrylatora AED, aby zapewnić odpowiednie bezpieczeństwo i warunki dla osób ze specjalnymi potrzebami edukacyjnymi i rozwojowymi w szkole? Poza tym działaniem Wnioskodawca planuje szereg innych, m.in. organizacja zajęć specjalistycznych dla uczniów z niepełnosprawnościami, zakup wyposażenia do prowadzenia zajęć.</w:t>
      </w:r>
    </w:p>
    <w:p w:rsidR="00272EEB" w:rsidRPr="00382658" w:rsidRDefault="00272EEB" w:rsidP="00272EEB">
      <w:pPr>
        <w:spacing w:after="0" w:line="276" w:lineRule="auto"/>
        <w:rPr>
          <w:rFonts w:ascii="Tahoma" w:hAnsi="Tahoma" w:cs="Tahoma"/>
        </w:rPr>
      </w:pPr>
      <w:r w:rsidRPr="00382658">
        <w:rPr>
          <w:rFonts w:ascii="Tahoma" w:hAnsi="Tahoma" w:cs="Tahoma"/>
        </w:rPr>
        <w:t xml:space="preserve">W opinii IP FEO 2021-2027 powyższy zakup sprzętu medycznego będzie wydatkiem niekwalifikowalnym. </w:t>
      </w:r>
    </w:p>
    <w:p w:rsidR="00272EEB" w:rsidRPr="00382658" w:rsidRDefault="00272EEB" w:rsidP="00272EEB">
      <w:pPr>
        <w:spacing w:after="0" w:line="276" w:lineRule="auto"/>
        <w:rPr>
          <w:rFonts w:ascii="Tahoma" w:hAnsi="Tahoma" w:cs="Tahoma"/>
        </w:rPr>
      </w:pPr>
      <w:r w:rsidRPr="00382658">
        <w:rPr>
          <w:rFonts w:ascii="Tahoma" w:hAnsi="Tahoma" w:cs="Tahoma"/>
        </w:rPr>
        <w:t xml:space="preserve">Celem interwencji EFS+ w obszarze edukacji, w ramach której realizowane jest działanie 5.10 FEO 2021-2027, jest wspieranie równego dostępu do dobrej jakości </w:t>
      </w:r>
      <w:r w:rsidRPr="00382658">
        <w:rPr>
          <w:rFonts w:ascii="Tahoma" w:hAnsi="Tahoma" w:cs="Tahoma"/>
          <w:u w:val="single"/>
        </w:rPr>
        <w:t>włączającego kształcenia</w:t>
      </w:r>
      <w:r w:rsidRPr="00382658">
        <w:rPr>
          <w:rFonts w:ascii="Tahoma" w:hAnsi="Tahoma" w:cs="Tahoma"/>
        </w:rPr>
        <w:t xml:space="preserve"> i szkolenia oraz możliwości ich ukończenia, w szczególności w odniesieniu do grup w niekorzystnej sytuacji. Nie zaś wyposażenie placówki w sprzęt medyczny w celu zapewnienia bezpieczeństwa w szkole. Powyższy zakup byłby kwalifikowalny w ramach naborów dot. interwencji EFS+ w obszarze zdrowia, jednak nie w obszarze edukacji.</w:t>
      </w:r>
    </w:p>
    <w:p w:rsidR="00272EEB" w:rsidRPr="00382658" w:rsidRDefault="00272EEB" w:rsidP="00272EEB">
      <w:pPr>
        <w:spacing w:after="0" w:line="276" w:lineRule="auto"/>
        <w:rPr>
          <w:rFonts w:ascii="Tahoma" w:hAnsi="Tahoma" w:cs="Tahoma"/>
        </w:rPr>
      </w:pPr>
      <w:r w:rsidRPr="00382658">
        <w:rPr>
          <w:rFonts w:ascii="Tahoma" w:hAnsi="Tahoma" w:cs="Tahoma"/>
        </w:rPr>
        <w:lastRenderedPageBreak/>
        <w:t xml:space="preserve">Dodatkowo zgodnie z </w:t>
      </w:r>
      <w:r w:rsidRPr="00382658">
        <w:rPr>
          <w:rFonts w:ascii="Tahoma" w:hAnsi="Tahoma" w:cs="Tahoma"/>
          <w:i/>
        </w:rPr>
        <w:t>Wytycznymi dotyczącymi realizacji projektów z udziałem środków Europejskiego Funduszu Społecznego Plus w regionalnych programach na lata 2021–2027</w:t>
      </w:r>
      <w:r w:rsidRPr="00382658">
        <w:rPr>
          <w:rFonts w:ascii="Tahoma" w:hAnsi="Tahoma" w:cs="Tahoma"/>
        </w:rPr>
        <w:t xml:space="preserve"> zakup sprzętu nie powinien stanowić jedynego lub głównego celu projektu, powinien wynikać bezpośrednio ze zdiagnozowanych potrzeb i być niezbędny do osiągnięcia celu projektu.</w:t>
      </w:r>
    </w:p>
    <w:p w:rsidR="00272EEB" w:rsidRPr="009A6CF7" w:rsidRDefault="00272EEB" w:rsidP="00272EEB">
      <w:r w:rsidRPr="00382658">
        <w:rPr>
          <w:rFonts w:ascii="Tahoma" w:hAnsi="Tahoma" w:cs="Tahoma"/>
        </w:rPr>
        <w:t>W związku z powyższym w obecnym naborze brak typów projektu polegających na doposażeniu szkoły/placówki w sprzęt. Zakup wyposażenia jest możliwy jedynie w przypadku jego wykorzystania w ramach prowadzonych w projekcie zajęć</w:t>
      </w:r>
    </w:p>
    <w:p w:rsidR="009A6CF7" w:rsidRPr="00272EEB" w:rsidRDefault="009A6CF7" w:rsidP="00C20E28">
      <w:pPr>
        <w:pStyle w:val="Akapitzlist"/>
        <w:numPr>
          <w:ilvl w:val="0"/>
          <w:numId w:val="1"/>
        </w:numPr>
      </w:pPr>
      <w:r w:rsidRPr="00382658">
        <w:rPr>
          <w:rFonts w:ascii="Tahoma" w:hAnsi="Tahoma" w:cs="Tahoma"/>
          <w:b/>
          <w:bCs/>
        </w:rPr>
        <w:t>Czy w ramach projektu możliwe jest zapewnienie usług asystenckich dla dzieci/uczniów ze specjalnymi potrzebami rozwojowymi i edukacyjnymi poprzez zwiększenie wymiaru etatu pedagoga specjalnego lub nauczyciela wspomagającego, które jest już zatrudniony w placówce? Jedynie zwiększona część etatu byłaby finansowana w ramach projektu.</w:t>
      </w:r>
    </w:p>
    <w:p w:rsidR="00272EEB" w:rsidRDefault="00272EEB" w:rsidP="00272EEB">
      <w:r w:rsidRPr="00382658">
        <w:rPr>
          <w:rFonts w:ascii="Tahoma" w:eastAsia="Times New Roman" w:hAnsi="Tahoma" w:cs="Tahoma"/>
          <w:lang w:eastAsia="pl-PL"/>
        </w:rPr>
        <w:t xml:space="preserve">W ramach typu projektu podlegającego dofinansowaniu istnieje możliwość bezpośredniego wsparcia dzieci i uczniów ze specjalnymi potrzebami edukacyjnymi w ramach edukacji włączającej w zakresie zapewnienia pełnego dostępu do edukacji ogólnodostępnej, w tym w  szczególności wsparcie dla dzieci i uczniów posiadających orzeczenie o potrzebie kształcenia specjalnego, w tym z niepełnosprawnościami oraz zagrożonych niedostosowaniem społecznym i niedostosowanych społecznie m.in. </w:t>
      </w:r>
      <w:r w:rsidRPr="00382658">
        <w:rPr>
          <w:rFonts w:ascii="Tahoma" w:eastAsia="Times New Roman" w:hAnsi="Tahoma" w:cs="Tahoma"/>
          <w:u w:val="single"/>
          <w:lang w:eastAsia="pl-PL"/>
        </w:rPr>
        <w:t>poprzez zapewnienie usług asystenckich, nauczania wspomaganego.</w:t>
      </w:r>
      <w:r w:rsidRPr="00382658">
        <w:rPr>
          <w:rFonts w:ascii="Tahoma" w:eastAsia="Times New Roman" w:hAnsi="Tahoma" w:cs="Tahoma"/>
          <w:lang w:eastAsia="pl-PL"/>
        </w:rPr>
        <w:t xml:space="preserve"> O tym, czy dany wydatek zostanie uznany za kwalifikowalny decyduje Komisja Oceny Projektów uwzględniając zapisy zawarte we wniosku o dofinansowanie, w tym przeprowadzoną diagnozę potrzeb.</w:t>
      </w:r>
    </w:p>
    <w:sectPr w:rsidR="00272E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02A" w:rsidRDefault="00C4502A" w:rsidP="00C4502A">
      <w:pPr>
        <w:spacing w:after="0" w:line="240" w:lineRule="auto"/>
      </w:pPr>
      <w:r>
        <w:separator/>
      </w:r>
    </w:p>
  </w:endnote>
  <w:endnote w:type="continuationSeparator" w:id="0">
    <w:p w:rsidR="00C4502A" w:rsidRDefault="00C4502A" w:rsidP="00C4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02A" w:rsidRDefault="00C4502A" w:rsidP="00C4502A">
      <w:pPr>
        <w:spacing w:after="0" w:line="240" w:lineRule="auto"/>
      </w:pPr>
      <w:r>
        <w:separator/>
      </w:r>
    </w:p>
  </w:footnote>
  <w:footnote w:type="continuationSeparator" w:id="0">
    <w:p w:rsidR="00C4502A" w:rsidRDefault="00C4502A" w:rsidP="00C4502A">
      <w:pPr>
        <w:spacing w:after="0" w:line="240" w:lineRule="auto"/>
      </w:pPr>
      <w:r>
        <w:continuationSeparator/>
      </w:r>
    </w:p>
  </w:footnote>
  <w:footnote w:id="1">
    <w:p w:rsidR="00C659AD" w:rsidRDefault="00C659AD" w:rsidP="00C659AD">
      <w:pPr>
        <w:pStyle w:val="Tekstprzypisudolnego"/>
      </w:pPr>
      <w:r>
        <w:rPr>
          <w:rStyle w:val="Odwoanieprzypisudolnego"/>
        </w:rPr>
        <w:footnoteRef/>
      </w:r>
      <w:r>
        <w:t xml:space="preserve"> </w:t>
      </w:r>
      <w:r w:rsidRPr="00BD50F6">
        <w:t>Wykaz znajduje się na stronie https://www.funduszeeuropejskie.gov.pl/strony/o-funduszach/fundusze-europejskie-bez-barier/dostepnosc-plus/certyfikacja-dostepnosci/wykaz-podmiotow/ (dostęp: 20.12.2023)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0351F"/>
    <w:multiLevelType w:val="hybridMultilevel"/>
    <w:tmpl w:val="42B453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7DC96984"/>
    <w:multiLevelType w:val="hybridMultilevel"/>
    <w:tmpl w:val="1CC40CBE"/>
    <w:lvl w:ilvl="0" w:tplc="37F6363E">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DD"/>
    <w:rsid w:val="001626EE"/>
    <w:rsid w:val="00255D92"/>
    <w:rsid w:val="00272EEB"/>
    <w:rsid w:val="00520CCE"/>
    <w:rsid w:val="00693418"/>
    <w:rsid w:val="009A6CF7"/>
    <w:rsid w:val="00B947DD"/>
    <w:rsid w:val="00C20E28"/>
    <w:rsid w:val="00C4502A"/>
    <w:rsid w:val="00C659AD"/>
    <w:rsid w:val="00D2768F"/>
    <w:rsid w:val="00D57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FA8A8-665F-42C9-960C-553796F3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C20E28"/>
    <w:pPr>
      <w:ind w:left="720"/>
      <w:contextualSpacing/>
    </w:pPr>
  </w:style>
  <w:style w:type="character" w:styleId="Hipercze">
    <w:name w:val="Hyperlink"/>
    <w:basedOn w:val="Domylnaczcionkaakapitu"/>
    <w:uiPriority w:val="99"/>
    <w:unhideWhenUsed/>
    <w:rsid w:val="00C20E28"/>
    <w:rPr>
      <w:color w:val="0563C1" w:themeColor="hyperlink"/>
      <w:u w:val="single"/>
    </w:rPr>
  </w:style>
  <w:style w:type="character" w:customStyle="1" w:styleId="hgkelc">
    <w:name w:val="hgkelc"/>
    <w:basedOn w:val="Domylnaczcionkaakapitu"/>
    <w:rsid w:val="00C20E28"/>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C20E28"/>
  </w:style>
  <w:style w:type="paragraph" w:customStyle="1" w:styleId="Default">
    <w:name w:val="Default"/>
    <w:rsid w:val="00C20E28"/>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semiHidden/>
    <w:unhideWhenUsed/>
    <w:rsid w:val="009A6C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9A6CF7"/>
    <w:rPr>
      <w:i/>
      <w:iCs/>
    </w:rPr>
  </w:style>
  <w:style w:type="paragraph" w:customStyle="1" w:styleId="pf0">
    <w:name w:val="pf0"/>
    <w:basedOn w:val="Normalny"/>
    <w:rsid w:val="00D276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D2768F"/>
    <w:rPr>
      <w:rFonts w:ascii="Segoe UI" w:hAnsi="Segoe UI" w:cs="Segoe UI" w:hint="default"/>
      <w:sz w:val="18"/>
      <w:szCs w:val="18"/>
    </w:r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C659AD"/>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C659AD"/>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C659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TR/wcag-3.0/" TargetMode="External"/><Relationship Id="rId3" Type="http://schemas.openxmlformats.org/officeDocument/2006/relationships/settings" Target="settings.xml"/><Relationship Id="rId7" Type="http://schemas.openxmlformats.org/officeDocument/2006/relationships/hyperlink" Target="https://www.w3.org/WAI/WCAG22/quickr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3.org/Translations/WCAG21-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5106</Words>
  <Characters>30638</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Okos</dc:creator>
  <cp:keywords/>
  <dc:description/>
  <cp:lastModifiedBy>J. Okos</cp:lastModifiedBy>
  <cp:revision>9</cp:revision>
  <dcterms:created xsi:type="dcterms:W3CDTF">2024-07-23T12:04:00Z</dcterms:created>
  <dcterms:modified xsi:type="dcterms:W3CDTF">2024-07-23T12:36:00Z</dcterms:modified>
</cp:coreProperties>
</file>